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B1" w:rsidRPr="005F6CB1" w:rsidRDefault="005F6CB1" w:rsidP="005F6CB1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r w:rsidRPr="005F6CB1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fldChar w:fldCharType="begin"/>
      </w:r>
      <w:r w:rsidRPr="005F6CB1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instrText xml:space="preserve"> HYPERLINK "http://www.admomsk.ru/web/guest/progress/rates/people" </w:instrText>
      </w:r>
      <w:r w:rsidRPr="005F6CB1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fldChar w:fldCharType="separate"/>
      </w:r>
      <w:r w:rsidRPr="005F6CB1">
        <w:rPr>
          <w:rFonts w:ascii="inherit" w:eastAsia="Times New Roman" w:hAnsi="inherit" w:cs="Arial"/>
          <w:color w:val="008FA0"/>
          <w:sz w:val="16"/>
          <w:u w:val="single"/>
          <w:lang w:eastAsia="ru-RU"/>
        </w:rPr>
        <w:t>Тарифы для населения</w:t>
      </w:r>
      <w:r w:rsidRPr="005F6CB1">
        <w:rPr>
          <w:rFonts w:ascii="inherit" w:eastAsia="Times New Roman" w:hAnsi="inherit" w:cs="Arial"/>
          <w:color w:val="333333"/>
          <w:sz w:val="16"/>
          <w:szCs w:val="16"/>
          <w:lang w:eastAsia="ru-RU"/>
        </w:rPr>
        <w:fldChar w:fldCharType="end"/>
      </w:r>
    </w:p>
    <w:p w:rsidR="005F6CB1" w:rsidRPr="005F6CB1" w:rsidRDefault="005F6CB1" w:rsidP="005F6CB1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textAlignment w:val="baseline"/>
        <w:rPr>
          <w:rFonts w:ascii="inherit" w:eastAsia="Times New Roman" w:hAnsi="inherit" w:cs="Arial"/>
          <w:color w:val="333333"/>
          <w:sz w:val="16"/>
          <w:szCs w:val="16"/>
          <w:lang w:eastAsia="ru-RU"/>
        </w:rPr>
      </w:pPr>
      <w:hyperlink r:id="rId5" w:history="1">
        <w:r w:rsidRPr="005F6CB1">
          <w:rPr>
            <w:rFonts w:ascii="inherit" w:eastAsia="Times New Roman" w:hAnsi="inherit" w:cs="Arial"/>
            <w:color w:val="008FA0"/>
            <w:sz w:val="16"/>
            <w:u w:val="single"/>
            <w:lang w:eastAsia="ru-RU"/>
          </w:rPr>
          <w:t>Инвестиционные программы</w:t>
        </w:r>
      </w:hyperlink>
    </w:p>
    <w:p w:rsidR="005F6CB1" w:rsidRPr="005F6CB1" w:rsidRDefault="005F6CB1" w:rsidP="005F6CB1">
      <w:pPr>
        <w:shd w:val="clear" w:color="auto" w:fill="FFFFFF"/>
        <w:spacing w:before="376" w:after="125" w:line="451" w:lineRule="atLeast"/>
        <w:textAlignment w:val="baseline"/>
        <w:outlineLvl w:val="1"/>
        <w:rPr>
          <w:rFonts w:ascii="Georgia" w:eastAsia="Times New Roman" w:hAnsi="Georgia" w:cs="Arial"/>
          <w:color w:val="333333"/>
          <w:sz w:val="38"/>
          <w:szCs w:val="38"/>
          <w:lang w:eastAsia="ru-RU"/>
        </w:rPr>
      </w:pPr>
      <w:bookmarkStart w:id="0" w:name="p_56_INSTANCE_Cc4I"/>
      <w:bookmarkEnd w:id="0"/>
      <w:r w:rsidRPr="005F6CB1">
        <w:rPr>
          <w:rFonts w:ascii="Georgia" w:eastAsia="Times New Roman" w:hAnsi="Georgia" w:cs="Arial"/>
          <w:color w:val="333333"/>
          <w:sz w:val="38"/>
          <w:szCs w:val="38"/>
          <w:lang w:eastAsia="ru-RU"/>
        </w:rPr>
        <w:t>Тарифы на коммунальные услуги по городу Омску на 2014 год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 Региональной энергетической комиссии Омской области.</w:t>
      </w:r>
    </w:p>
    <w:p w:rsidR="005F6CB1" w:rsidRPr="005F6CB1" w:rsidRDefault="005F6CB1" w:rsidP="005F6C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1" w:name="p_110_INSTANCE_3Efn"/>
      <w:bookmarkEnd w:id="1"/>
      <w:r w:rsidRPr="005F6CB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F6CB1" w:rsidRPr="005F6CB1" w:rsidRDefault="005F6CB1" w:rsidP="005F6C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6CB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F6CB1" w:rsidRPr="005F6CB1" w:rsidRDefault="005F6CB1" w:rsidP="005F6C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6CB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1270" w:type="dxa"/>
        <w:tblCellMar>
          <w:left w:w="0" w:type="dxa"/>
          <w:right w:w="0" w:type="dxa"/>
        </w:tblCellMar>
        <w:tblLook w:val="04A0"/>
      </w:tblPr>
      <w:tblGrid>
        <w:gridCol w:w="2683"/>
        <w:gridCol w:w="7272"/>
        <w:gridCol w:w="1315"/>
      </w:tblGrid>
      <w:tr w:rsidR="005F6CB1" w:rsidRPr="005F6CB1" w:rsidTr="005F6CB1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noProof/>
                  <w:sz w:val="16"/>
                  <w:szCs w:val="16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76225" cy="190500"/>
                    <wp:effectExtent l="19050" t="0" r="9525" b="0"/>
                    <wp:wrapSquare wrapText="bothSides"/>
                    <wp:docPr id="2" name="Рисунок 2" descr="http://www.admomsk.ru/without_header-theme/images/document_library/doc.pn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admomsk.ru/without_header-theme/images/document_library/doc.pn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6225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Pr="005F6CB1">
                <w:rPr>
                  <w:rFonts w:ascii="inherit" w:eastAsia="Times New Roman" w:hAnsi="inherit" w:cs="Arial"/>
                  <w:color w:val="004BA0"/>
                  <w:sz w:val="16"/>
                  <w:u w:val="single"/>
                  <w:lang w:eastAsia="ru-RU"/>
                </w:rPr>
                <w:t>Приказ РЭК</w:t>
              </w:r>
            </w:hyperlink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25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 Региональной энергетической комиссии Омской области от 11 сентября 2014 года № 118/46 «Об утверждении нормативов потребления коммунальных услуг по холодному и горячему водоснабжению и водоотведению на территории города Омска и Омской области»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3" w:type="dxa"/>
              <w:bottom w:w="100" w:type="dxa"/>
              <w:right w:w="63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Arial" w:eastAsia="Times New Roman" w:hAnsi="Arial" w:cs="Arial"/>
                <w:color w:val="79948C"/>
                <w:sz w:val="16"/>
                <w:szCs w:val="16"/>
                <w:lang w:eastAsia="ru-RU"/>
              </w:rPr>
            </w:pPr>
            <w:hyperlink r:id="rId8" w:history="1">
              <w:r w:rsidRPr="005F6CB1">
                <w:rPr>
                  <w:rFonts w:ascii="Arial" w:eastAsia="Times New Roman" w:hAnsi="Arial" w:cs="Arial"/>
                  <w:color w:val="004BA0"/>
                  <w:sz w:val="14"/>
                  <w:u w:val="single"/>
                  <w:lang w:eastAsia="ru-RU"/>
                </w:rPr>
                <w:t>273,0 Кб</w:t>
              </w:r>
            </w:hyperlink>
          </w:p>
        </w:tc>
      </w:tr>
    </w:tbl>
    <w:p w:rsidR="005F6CB1" w:rsidRPr="005F6CB1" w:rsidRDefault="005F6CB1" w:rsidP="005F6C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6CB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F6CB1" w:rsidRPr="005F6CB1" w:rsidRDefault="005F6CB1" w:rsidP="005F6CB1">
      <w:pPr>
        <w:shd w:val="clear" w:color="auto" w:fill="FFFFFF"/>
        <w:spacing w:before="250" w:after="125" w:line="376" w:lineRule="atLeast"/>
        <w:textAlignment w:val="baseline"/>
        <w:outlineLvl w:val="2"/>
        <w:rPr>
          <w:rFonts w:ascii="Georgia" w:eastAsia="Times New Roman" w:hAnsi="Georgia" w:cs="Arial"/>
          <w:color w:val="333333"/>
          <w:sz w:val="30"/>
          <w:szCs w:val="30"/>
          <w:lang w:eastAsia="ru-RU"/>
        </w:rPr>
      </w:pPr>
      <w:bookmarkStart w:id="2" w:name="p_56_INSTANCE_8iOE"/>
      <w:bookmarkEnd w:id="2"/>
      <w:r w:rsidRPr="005F6CB1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Холодная вода и водоотведение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Тарифы на холодную воду и водоотведение установлены для потребителей услуг следующих организаций: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83"/>
        <w:gridCol w:w="998"/>
        <w:gridCol w:w="1184"/>
        <w:gridCol w:w="560"/>
        <w:gridCol w:w="1272"/>
        <w:gridCol w:w="1441"/>
        <w:gridCol w:w="661"/>
        <w:gridCol w:w="578"/>
        <w:gridCol w:w="578"/>
      </w:tblGrid>
      <w:tr w:rsidR="005F6CB1" w:rsidRPr="005F6CB1" w:rsidTr="005F6CB1">
        <w:trPr>
          <w:tblHeader/>
        </w:trPr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Виды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Норматив, куб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/чел.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платы за холодное водоснабжение, с НДС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платы за водоотведение, с НДС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ХВС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ХВС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ГВС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При наличии приборов учета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Руб./куб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15,12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без водопровода, без канализации, использующие воду из водоразборных колонок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0,913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дома, оборудованные водопроводом, без канализации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1,369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с водопроводом, канализацией, без ванн, без душа, без горячего водоснабжения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2,890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2,890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45,29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с водопроводом, канализацией, ванной и (или) душем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оборудования, установленном в жилом помещении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5,576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5,576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87,38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с водопроводом, канализацией, без ванн, без душа с горячим водоснабжением (при открытой и закрытой системах теплоснабжения)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2,088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2,964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32,72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44,82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13,25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Жилые дома с водопроводом,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канализацией, ванной и (или) душем, с горячим водоснабжением (при открытой и закрытой системах теплоснабжения)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в жилых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3,823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6,822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59,91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103,14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57,80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45,34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—</w:t>
            </w:r>
          </w:p>
        </w:tc>
      </w:tr>
    </w:tbl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* плата за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 (руб. в мес.) = размер платы на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 (руб./кв</w:t>
      </w:r>
      <w:proofErr w:type="gram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.м</w:t>
      </w:r>
      <w:proofErr w:type="gram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общего имущества дома (кв.м)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квартиры (кв.м) / площадь всех квартир (кв.м)</w:t>
      </w:r>
    </w:p>
    <w:p w:rsidR="005F6CB1" w:rsidRPr="005F6CB1" w:rsidRDefault="005F6CB1" w:rsidP="005F6CB1">
      <w:pPr>
        <w:shd w:val="clear" w:color="auto" w:fill="FFFFFF"/>
        <w:spacing w:before="250" w:after="125" w:line="376" w:lineRule="atLeast"/>
        <w:textAlignment w:val="baseline"/>
        <w:outlineLvl w:val="2"/>
        <w:rPr>
          <w:rFonts w:ascii="Georgia" w:eastAsia="Times New Roman" w:hAnsi="Georgia" w:cs="Arial"/>
          <w:color w:val="333333"/>
          <w:sz w:val="30"/>
          <w:szCs w:val="30"/>
          <w:lang w:eastAsia="ru-RU"/>
        </w:rPr>
      </w:pPr>
      <w:bookmarkStart w:id="3" w:name="p_56_INSTANCE_4QPc"/>
      <w:bookmarkEnd w:id="3"/>
      <w:r w:rsidRPr="005F6CB1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Горячая вода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Тарифы на горячую воду по открытой и закрытой системе горячего водоснабжения для населения города Омска рассчитаны по компонентам, установленным приказами Региональной энергетической комиссией Омской области: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Закрытая схема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22"/>
        <w:gridCol w:w="1277"/>
        <w:gridCol w:w="1382"/>
        <w:gridCol w:w="1288"/>
        <w:gridCol w:w="1395"/>
        <w:gridCol w:w="1791"/>
      </w:tblGrid>
      <w:tr w:rsidR="005F6CB1" w:rsidRPr="005F6CB1" w:rsidTr="005F6CB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Виды благоустройства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Жилые дома с водопроводом, канализацией, без ванн, без душа с горячим водоснабжением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Жилые дома с водопроводом, канализацией, ванной и (или) душем, с горячим водоснабжением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При наличии приборов учета, а также в домах частной индивидуальной застройки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Потребление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</w:tr>
      <w:tr w:rsidR="005F6CB1" w:rsidRPr="005F6CB1" w:rsidTr="005F6CB1">
        <w:trPr>
          <w:tblHeader/>
        </w:trPr>
        <w:tc>
          <w:tcPr>
            <w:tcW w:w="0" w:type="auto"/>
            <w:gridSpan w:val="6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платы в месяц (с НДС)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Руб./кв. м*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Руб./кв. м*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Руб./кв. м*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МП г. 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314,18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104,76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ОмПО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«Иртыш»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81,51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279,06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93,05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 11»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193,23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64,43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АСУСО Омской области «Омский психоневрологический интернат» (НДС не предусмотрен)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253,66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84,58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МП г. Омска «Тепловая компания» от котельной цеха № 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79,09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270,75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90,28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МП г. Омска «Тепловая компания» от котельной участка Теплофикационная котельная цеха № 15 ООО «Омский завод технического углерода»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238,45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79,51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72,67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248,80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82,96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«Электротехнический комплекс»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85,85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293,90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98,00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МП г. Омска «Тепловая компания» от </w:t>
            </w:r>
            <w:proofErr w:type="spellStart"/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тепло-источников</w:t>
            </w:r>
            <w:proofErr w:type="spellEnd"/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ОАО «Территориальная генерирующая компания № 11»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66,70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228,34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76,14</w:t>
            </w:r>
          </w:p>
        </w:tc>
      </w:tr>
    </w:tbl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* Плата за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 (руб. в мес.) = размер платы на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 (руб./кв. м)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общего имущества дома (кв. м)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квартиры (кв. м) / площадь всех квартир (кв. м)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Открытая схема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7"/>
        <w:gridCol w:w="660"/>
        <w:gridCol w:w="812"/>
        <w:gridCol w:w="815"/>
        <w:gridCol w:w="717"/>
        <w:gridCol w:w="905"/>
        <w:gridCol w:w="905"/>
        <w:gridCol w:w="809"/>
        <w:gridCol w:w="717"/>
        <w:gridCol w:w="1119"/>
        <w:gridCol w:w="1119"/>
      </w:tblGrid>
      <w:tr w:rsidR="005F6CB1" w:rsidRPr="005F6CB1" w:rsidTr="005F6CB1">
        <w:trPr>
          <w:tblHeader/>
        </w:trPr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Виды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изм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Потребление</w:t>
            </w:r>
          </w:p>
        </w:tc>
        <w:tc>
          <w:tcPr>
            <w:tcW w:w="0" w:type="auto"/>
            <w:gridSpan w:val="8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платы в месяц (с НДС)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ОАО «Территориальная генерирующая компания № 11»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МП г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Омскшина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» и МП г. Омска «Тепловая компания»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Омскшина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», МП г. Омска «Тепловая компания» и </w:t>
            </w:r>
            <w:proofErr w:type="spell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сеям</w:t>
            </w:r>
            <w:proofErr w:type="spell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 ООО «Транспортная компания АК-1253»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 сетям МП г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 сетям МП г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мска «Тепловая компания» и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по сетям ООО «КСМ Сибирский </w:t>
            </w:r>
            <w:proofErr w:type="spellStart"/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железобетон-Тех</w:t>
            </w:r>
            <w:proofErr w:type="spellEnd"/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с водопроводом, канализацией, без ванн, без душа с горячим водоснабжением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59,08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63,12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65,38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74,53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3,57</w:t>
            </w:r>
          </w:p>
        </w:tc>
      </w:tr>
      <w:tr w:rsidR="005F6CB1" w:rsidRPr="005F6CB1" w:rsidTr="005F6CB1"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Жилые дома с водопроводом, канализацией, ванной и (или) душем, с горячим водоснабжением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Руб./чел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жилых помещениях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202,25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237,37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216,11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223,85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323,59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251,59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255,15</w:t>
            </w:r>
          </w:p>
        </w:tc>
      </w:tr>
      <w:tr w:rsidR="005F6CB1" w:rsidRPr="005F6CB1" w:rsidTr="005F6CB1"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Руб./кв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общедомовые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2,64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При наличии приборов учета, а также в домах частной индивидуа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льной застройки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Руб./куб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79,15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72,06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85,08</w:t>
            </w:r>
          </w:p>
        </w:tc>
      </w:tr>
    </w:tbl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* плата за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 (руб</w:t>
      </w:r>
      <w:proofErr w:type="gram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.в</w:t>
      </w:r>
      <w:proofErr w:type="gram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мес.) = размер платы на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общедомовые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нужды(руб./кв.м)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общего имущества дома (кв.м)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площадь квартиры (кв.м) / площадь всех квартир (кв.м)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составляет 0,0503 Гкал/куб.</w:t>
      </w:r>
      <w:proofErr w:type="gram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</w:t>
      </w:r>
      <w:proofErr w:type="gram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При отсутствии централизованного горячего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570"/>
        <w:gridCol w:w="761"/>
        <w:gridCol w:w="758"/>
        <w:gridCol w:w="571"/>
        <w:gridCol w:w="762"/>
        <w:gridCol w:w="758"/>
        <w:gridCol w:w="571"/>
        <w:gridCol w:w="762"/>
        <w:gridCol w:w="758"/>
        <w:gridCol w:w="862"/>
        <w:gridCol w:w="862"/>
      </w:tblGrid>
      <w:tr w:rsidR="005F6CB1" w:rsidRPr="005F6CB1" w:rsidTr="005F6CB1">
        <w:trPr>
          <w:tblHeader/>
        </w:trPr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Наименование предприятия, предоставляющего тепловую энергию</w:t>
            </w:r>
          </w:p>
        </w:tc>
        <w:tc>
          <w:tcPr>
            <w:tcW w:w="0" w:type="auto"/>
            <w:gridSpan w:val="9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платы в месяц (с НДС)</w:t>
            </w:r>
          </w:p>
        </w:tc>
        <w:tc>
          <w:tcPr>
            <w:tcW w:w="0" w:type="auto"/>
            <w:gridSpan w:val="2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Тарифы на коммунальные ресурсы</w:t>
            </w:r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При наличии приборов учета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Жилые дома с водопроводом, канализацией, ванной и (или) душем, с горячим водоснабжением (при открытой и закрытой системе теплоснабжения) при отсутствии приборов учета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Жилые дома с водопроводом, канализацией, без ванн, без душа, с горячим водоснабжением (при открытой и закрытой системе теплоснабжения) при отсутствии приборов учета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Стоимость тепловой энергии, руб./Гкал</w:t>
            </w:r>
          </w:p>
        </w:tc>
        <w:tc>
          <w:tcPr>
            <w:tcW w:w="0" w:type="auto"/>
            <w:vMerge w:val="restart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Стоимость холодной воды, руб./куб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 жилых помещениях, руб./куб.м.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 жилых помещениях, руб./чел.</w:t>
            </w:r>
          </w:p>
        </w:tc>
        <w:tc>
          <w:tcPr>
            <w:tcW w:w="0" w:type="auto"/>
            <w:gridSpan w:val="3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 жилых помещениях, руб./чел.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</w:tr>
      <w:tr w:rsidR="005F6CB1" w:rsidRPr="005F6CB1" w:rsidTr="005F6CB1">
        <w:trPr>
          <w:tblHeader/>
        </w:trPr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center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Всего, в т.ч.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vAlign w:val="bottom"/>
            <w:hideMark/>
          </w:tcPr>
          <w:p w:rsidR="005F6CB1" w:rsidRPr="005F6CB1" w:rsidRDefault="005F6CB1" w:rsidP="005F6CB1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ООО «Омскстройматериалы-2» при передаче тепловой энергии по сетям МП г. Омска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85,63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256,80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209,81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75,01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61,28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1390,94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ООО «Омскстройматериалы-2»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53,34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206,96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159,97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1060,49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«Завод строительных конструкций-1»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49,22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194,60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147,61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43,12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978,54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ЗАО «Завод сборного железобетона № 6» (ул. 2-я 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Поселковая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, дом 65, корпус 1)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92,61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76,94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277,73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230,74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81,13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67,40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1529,67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ЗАО «Завод сборного железобетона № 6» (ул. 28-я 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Северная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, дом 16 а)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92,96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77,29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278,78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231,79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81,44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1536,53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1155,02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«Тепловая компания»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250,71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203,72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59,51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1350,44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«Омское производственное объединение «Иртыш»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93,53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77,86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280,49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233,50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81,94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68,21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1547,90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ОАО «Омское производственное объединение «Иртыш» при передаче тепловой энергии по сетям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МП г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99,49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298,37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251,38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87,16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73,43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1666,36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ОАО «Омский комбинат строительных конструкций»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90,10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74,43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223,22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78,93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65,20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1479,68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ФБУ «Администрация </w:t>
            </w:r>
            <w:proofErr w:type="spellStart"/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Обь-Иртышского</w:t>
            </w:r>
            <w:proofErr w:type="spellEnd"/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бассейна внутренних водных путей»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97,13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81,46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291,29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244,30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71,36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1619,48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Станция Входная: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Западно-Сибирская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дирекция по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тепловодоснабжению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структурного подразделения Центральной дирекции по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тепловодоснабжению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155,21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139,54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465,47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418,48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135,97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122,24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2774,22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ПМС-22: структурное подразделение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Западно-Сибирской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дирекции по ремонту пути структурного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подразделения Центральной дирекции по ремонту пути филиала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86,89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71,22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260,58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76,12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62,39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1415,95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 xml:space="preserve">ОАО «Электротехнический комплекс» от котельной ООО «Теплогенерирующий комплекс» по сетям ОАО «Электротехнический комплекс» (30 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Северная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, 65)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98,60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82,93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295,70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248,71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86,38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1648,67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«Электротехнический комплекс» от котельной ООО «Теплогенерирующий комплекс» по сетям ООО «Теплогенерирующий комплекс» и ОАО «Электротехнический комплекс» (22 Партсъезда, 97)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96,58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80,91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289,64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242,65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70,88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1608,64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 11»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49,24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194,66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147,67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43,13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978,96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ОАО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«Территориальная генерирующая компания № 11» при передаче тепловой энергии по сетям МП г. Омска «Тепловая компания» 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81,24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65,57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243,6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196,64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71,17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57,44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1303,59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ОАО «Территориальная генерирующая компания № 11» при передаче тепловой энергии по сетям ООО «Микрорайон»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53,86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208,52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161,53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60,91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47,18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1070,85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«Территориальная генерирующая компания № 11» при передаче тепловой энергии по сетям МП г. 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76,62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229,78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182,79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53,39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1211,71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ОАО «Территориальная генерирующая компания № 11» при передаче тепловой энергии по сетям ООО «КСМ Сибирский </w:t>
            </w:r>
            <w:proofErr w:type="spellStart"/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железобетон-Тех</w:t>
            </w:r>
            <w:proofErr w:type="spellEnd"/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72,11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216,25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169,26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63,17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49,44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1122,03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МП г. Омска «Тепловая компания» при передаче тепловой энергии по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105,24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89,57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315,61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268,62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92,19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78,46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1780,81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Автономное стационарное учреждение социального обслуживания Омской области «Омский психоневрологический интернат» (НДС не предусмотрен)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85,06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208,10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60,79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1379,49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«Ремонтно-эксплуатационное управление» «Новосибирский» от котельной № 127 в/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г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154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142,27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126,60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426,66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379,67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124,63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110,90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2516,95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«Ремонтно-эксплуатационное управление» «Новосибирский» от котельной № 127 в/г 154 по МП г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229,87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214,20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689,38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642,39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201,37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187,64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4258,45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«Ремонтно-эксплуатационное управление» «Новосибирский» от котельной № 14 в/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г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119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186,95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171,28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560,66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513,67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150,04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3405,15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ОАО «Ремонтно-эксплуатационное управление» «Новосибирский» от котельной № 39 в/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г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75,76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227,20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180,21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66,37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1194,54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«Производственное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объединение «Полет» филиала ФГУП «Государственный космический научно-производственный центр им. М.В. Хруничева», территория «О»,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85,65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69,98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256,8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209,87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75,03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1391,23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«О», при передаче тепловой энергии по сетям общества с ООО «Тепло»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83,44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250,23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203,24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73,10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59,37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1347,24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«Производственное объединение «Полет» филиала ФГУП «Государственный космический научно-производственный центр им. М.В. Хруничева», территория «О», при передаче тепловой энергии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по сетям общества с ООО «Тепло» и МП г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.О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103,49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87,82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310,36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263,37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90,66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76,93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1745,94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«Г», при передаче тепловой энергии по собственным сетям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223,63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176,64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51,60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1171,04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«Производственное объединение «Полет» филиала ФГУП «Государственный космический научно-производственный центр им. М.В. Хруничева», территория «Г», при передаче тепловой энергии по сетям ООО ДСК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Стройбетон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68,54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252,54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205,55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60,04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1362,65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«Омский завод технического углерода» от котельной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151,21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ООО «Омский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завод технического углерода» от котельной цеха № 15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90,76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75,09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272,1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225,19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79,51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65,78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1492,78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ООО «Омский завод технического углерода» от котельной участка Теплофикационная котельная цеха № 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66,09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151,21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1002,48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79,99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64,32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239,89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192,90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70,07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56,34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1278,74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Омскшина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69,64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53,97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208,85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61,01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47,28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1073,02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ООО «Омский завод технического углерода» от котельной участка Теплофикационная </w:t>
            </w: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котельная цеха № 15 при передаче тепловой энергии по сетям ОАО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Омскшина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 и МП г. Омска «Тепловая компания»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83,54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67,87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250,53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203,54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73,18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59,45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1349,28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lastRenderedPageBreak/>
              <w:t>ООО «Омский завод технического углерода» от котельной участка Теплофикационная котельная цеха № 15 при передаче тепловой энергии по сетям ОАО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Омскшина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», МП г. Омска «Тепловая компания» и сетям ООО «Транспортная компания АК-1253»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84,64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68,97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253,83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206,84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60,42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1371,15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МП г. Омска «Тепловая компания» от котельной 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мкр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.В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ходной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ООО «</w:t>
            </w:r>
            <w:proofErr w:type="spell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Стройтепломонтаж-Омск</w:t>
            </w:r>
            <w:proofErr w:type="spell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85,87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70,20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257,52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210,53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75,23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1395,54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ООО «Малая генерация»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94,18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78,51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282,44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235,45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82,50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68,77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1560,82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15,67</w:t>
            </w:r>
          </w:p>
        </w:tc>
      </w:tr>
    </w:tbl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Примечание: </w:t>
      </w:r>
      <w:proofErr w:type="gram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п. 54 Правил предоставления коммунальных услуг собственникам и пользователям помещений в многоквартирных домах, утвержденных постановлением Правительства № 354, при отсутствии централизованного горячего водоснабжения, т.е. при приготовлении горячей воды с использованием внутридомового оборудования, расчет размера платы за горячую воду осуществляется исходя из объема тепловой энергии и холодной воды, использованных при производстве и соответствующих тарифов.</w:t>
      </w:r>
      <w:proofErr w:type="gram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Объемы использованных при производстве горячей воды тепловой энергии и холодной воды определяются исходя из показаний приборов учета, а при их отсутствии определяются по удельным расходам такого </w:t>
      </w: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коммунального ресурса на производство единицы горячей воды в соответствии с техническими характеристиками общедомового оборудования.</w:t>
      </w: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Размер платы потребителя за коммунальную услугу по горячему водоснабжению (при отсутствии централизованного горячего водоснабжения) определяется в соответствии с формулой 20 приложения № 2 к Правилам № 354 как сумма 2 составляющих:</w:t>
      </w: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произведение объема потребленной потребителем горячей воды, приготовленной исполнителем, и тарифа на холодную воду;</w:t>
      </w: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стоимость коммунального ресурса, использованного для подогрева холодной воды при производстве коммунальной услуги по горячему водоснабжению, отнесенная на потребителя в каждом жилом и нежилом помещении пропорционально объему горячей воды, потребленному за расчетный период в жилом или нежилом помещении.</w:t>
      </w:r>
    </w:p>
    <w:p w:rsidR="005F6CB1" w:rsidRPr="005F6CB1" w:rsidRDefault="005F6CB1" w:rsidP="005F6CB1">
      <w:pPr>
        <w:shd w:val="clear" w:color="auto" w:fill="FFFFFF"/>
        <w:spacing w:before="250" w:after="125" w:line="376" w:lineRule="atLeast"/>
        <w:textAlignment w:val="baseline"/>
        <w:outlineLvl w:val="2"/>
        <w:rPr>
          <w:rFonts w:ascii="Georgia" w:eastAsia="Times New Roman" w:hAnsi="Georgia" w:cs="Arial"/>
          <w:color w:val="333333"/>
          <w:sz w:val="30"/>
          <w:szCs w:val="30"/>
          <w:lang w:eastAsia="ru-RU"/>
        </w:rPr>
      </w:pPr>
      <w:bookmarkStart w:id="4" w:name="p_56_INSTANCE_z0C8"/>
      <w:bookmarkEnd w:id="4"/>
      <w:r w:rsidRPr="005F6CB1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Газ</w:t>
      </w:r>
    </w:p>
    <w:p w:rsidR="005F6CB1" w:rsidRPr="005F6CB1" w:rsidRDefault="005F6CB1" w:rsidP="005F6CB1">
      <w:pPr>
        <w:shd w:val="clear" w:color="auto" w:fill="FFFFFF"/>
        <w:spacing w:after="0" w:line="25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приказами Региональной энергетической комиссии Омской области от 5 декабря 2013 года № 336/66 и от 26 ноября 2013 года № 254/63 утверждены розничные цены:</w:t>
      </w:r>
    </w:p>
    <w:p w:rsidR="005F6CB1" w:rsidRPr="005F6CB1" w:rsidRDefault="005F6CB1" w:rsidP="005F6CB1">
      <w:pPr>
        <w:numPr>
          <w:ilvl w:val="1"/>
          <w:numId w:val="2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сжиженный газ, реализуемый населению города Омска для бытовых нужд (с учетом НДС) ОАО «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Омскгоргаз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и ОАО «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Омскоблгаз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»;</w:t>
      </w:r>
    </w:p>
    <w:p w:rsidR="005F6CB1" w:rsidRPr="005F6CB1" w:rsidRDefault="005F6CB1" w:rsidP="005F6CB1">
      <w:pPr>
        <w:numPr>
          <w:ilvl w:val="1"/>
          <w:numId w:val="2"/>
        </w:numPr>
        <w:shd w:val="clear" w:color="auto" w:fill="FFFFFF"/>
        <w:spacing w:after="0" w:line="250" w:lineRule="atLeast"/>
        <w:ind w:left="313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природный газ, реализуемый ЗАО «Газпром </w:t>
      </w:r>
      <w:proofErr w:type="spellStart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межрегионгаз</w:t>
      </w:r>
      <w:proofErr w:type="spellEnd"/>
      <w:r w:rsidRPr="005F6C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Омск» населению города Омска.</w:t>
      </w:r>
    </w:p>
    <w:p w:rsidR="005F6CB1" w:rsidRPr="005F6CB1" w:rsidRDefault="005F6CB1" w:rsidP="005F6CB1">
      <w:pPr>
        <w:shd w:val="clear" w:color="auto" w:fill="FFFFFF"/>
        <w:spacing w:before="250" w:after="125" w:line="301" w:lineRule="atLeast"/>
        <w:textAlignment w:val="baseline"/>
        <w:outlineLvl w:val="3"/>
        <w:rPr>
          <w:rFonts w:ascii="Georgia" w:eastAsia="Times New Roman" w:hAnsi="Georgia" w:cs="Arial"/>
          <w:color w:val="333333"/>
          <w:sz w:val="25"/>
          <w:szCs w:val="25"/>
          <w:lang w:eastAsia="ru-RU"/>
        </w:rPr>
      </w:pPr>
      <w:r w:rsidRPr="005F6CB1">
        <w:rPr>
          <w:rFonts w:ascii="Georgia" w:eastAsia="Times New Roman" w:hAnsi="Georgia" w:cs="Arial"/>
          <w:color w:val="333333"/>
          <w:sz w:val="25"/>
          <w:szCs w:val="25"/>
          <w:lang w:eastAsia="ru-RU"/>
        </w:rPr>
        <w:t>Сжиженный газ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16"/>
        <w:gridCol w:w="3109"/>
        <w:gridCol w:w="3130"/>
      </w:tblGrid>
      <w:tr w:rsidR="005F6CB1" w:rsidRPr="005F6CB1" w:rsidTr="005F6CB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предельных уровней розничных цен с 1 января 2014 года по 30 июня 2014 года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Размер предельных уровней розничных цен с 1 июля 2014 года по 31 декабря 2014 года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Из групповых газовых резервуарных установок, руб./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31,49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32,81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баллонах с доставкой до потребителя, руб./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26,53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27,64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В баллонах с места промежуточного хранения (склада), руб./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19,57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20,39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Из групповых газовых резервуарных установок при наличии приборов учета газа, руб./куб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71,48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74,48</w:t>
            </w:r>
          </w:p>
        </w:tc>
      </w:tr>
    </w:tbl>
    <w:p w:rsidR="005F6CB1" w:rsidRPr="005F6CB1" w:rsidRDefault="005F6CB1" w:rsidP="005F6CB1">
      <w:pPr>
        <w:shd w:val="clear" w:color="auto" w:fill="FFFFFF"/>
        <w:spacing w:before="250" w:after="125" w:line="301" w:lineRule="atLeast"/>
        <w:textAlignment w:val="baseline"/>
        <w:outlineLvl w:val="3"/>
        <w:rPr>
          <w:rFonts w:ascii="Georgia" w:eastAsia="Times New Roman" w:hAnsi="Georgia" w:cs="Arial"/>
          <w:color w:val="333333"/>
          <w:sz w:val="25"/>
          <w:szCs w:val="25"/>
          <w:lang w:eastAsia="ru-RU"/>
        </w:rPr>
      </w:pPr>
      <w:r w:rsidRPr="005F6CB1">
        <w:rPr>
          <w:rFonts w:ascii="Georgia" w:eastAsia="Times New Roman" w:hAnsi="Georgia" w:cs="Arial"/>
          <w:color w:val="333333"/>
          <w:sz w:val="25"/>
          <w:szCs w:val="25"/>
          <w:lang w:eastAsia="ru-RU"/>
        </w:rPr>
        <w:t>Природный газ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54"/>
        <w:gridCol w:w="2501"/>
      </w:tblGrid>
      <w:tr w:rsidR="005F6CB1" w:rsidRPr="005F6CB1" w:rsidTr="005F6CB1">
        <w:trPr>
          <w:tblHeader/>
        </w:trPr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Направление использования газа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  <w:hideMark/>
          </w:tcPr>
          <w:p w:rsidR="005F6CB1" w:rsidRPr="005F6CB1" w:rsidRDefault="005F6CB1" w:rsidP="005F6CB1">
            <w:pPr>
              <w:spacing w:after="0" w:line="225" w:lineRule="atLeast"/>
              <w:jc w:val="center"/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Розничная цена на природный газ, руб./куб</w:t>
            </w:r>
            <w:proofErr w:type="gramStart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>.м</w:t>
            </w:r>
            <w:proofErr w:type="gramEnd"/>
            <w:r w:rsidRPr="005F6CB1">
              <w:rPr>
                <w:rFonts w:ascii="inherit" w:eastAsia="Times New Roman" w:hAnsi="inherit" w:cs="Arial"/>
                <w:b/>
                <w:bCs/>
                <w:color w:val="79948C"/>
                <w:sz w:val="16"/>
                <w:szCs w:val="16"/>
                <w:lang w:eastAsia="ru-RU"/>
              </w:rPr>
              <w:t xml:space="preserve"> с 1 января 2014 года по 30 июня 2014 года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На отопление жилых помещений, потребление газа при наличии приборов учета расхода газа (в случае использования для учета </w:t>
            </w:r>
            <w:proofErr w:type="gramStart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объема потребления газа одного прибора учета</w:t>
            </w:r>
            <w:proofErr w:type="gramEnd"/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 xml:space="preserve"> при одновременном использовании газа по нескольким направлениям его потребления, для которых устанавливаются различные розничные цены)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3,99</w:t>
            </w:r>
          </w:p>
        </w:tc>
      </w:tr>
      <w:tr w:rsidR="005F6CB1" w:rsidRPr="005F6CB1" w:rsidTr="005F6CB1"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На приготовление пищи и горячее водоснабжение (подогрев воды при отсутствии централизованного горячего водоснабжения)</w:t>
            </w:r>
          </w:p>
        </w:tc>
        <w:tc>
          <w:tcPr>
            <w:tcW w:w="0" w:type="auto"/>
            <w:tcBorders>
              <w:top w:val="single" w:sz="4" w:space="0" w:color="C0C7C4"/>
              <w:left w:val="single" w:sz="4" w:space="0" w:color="C0C7C4"/>
              <w:bottom w:val="single" w:sz="4" w:space="0" w:color="C0C7C4"/>
              <w:right w:val="single" w:sz="4" w:space="0" w:color="C0C7C4"/>
            </w:tcBorders>
            <w:tcMar>
              <w:top w:w="63" w:type="dxa"/>
              <w:left w:w="100" w:type="dxa"/>
              <w:bottom w:w="63" w:type="dxa"/>
              <w:right w:w="100" w:type="dxa"/>
            </w:tcMar>
            <w:vAlign w:val="bottom"/>
            <w:hideMark/>
          </w:tcPr>
          <w:p w:rsidR="005F6CB1" w:rsidRPr="005F6CB1" w:rsidRDefault="005F6CB1" w:rsidP="005F6CB1">
            <w:pPr>
              <w:spacing w:after="0" w:line="225" w:lineRule="atLeast"/>
              <w:jc w:val="right"/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</w:pPr>
            <w:r w:rsidRPr="005F6CB1">
              <w:rPr>
                <w:rFonts w:ascii="inherit" w:eastAsia="Times New Roman" w:hAnsi="inherit" w:cs="Arial"/>
                <w:sz w:val="16"/>
                <w:szCs w:val="16"/>
                <w:lang w:eastAsia="ru-RU"/>
              </w:rPr>
              <w:t>6,55</w:t>
            </w:r>
          </w:p>
        </w:tc>
      </w:tr>
    </w:tbl>
    <w:p w:rsidR="0013590D" w:rsidRDefault="0013590D"/>
    <w:sectPr w:rsidR="0013590D" w:rsidSect="0013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B57E1"/>
    <w:multiLevelType w:val="multilevel"/>
    <w:tmpl w:val="1CC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D7174"/>
    <w:multiLevelType w:val="multilevel"/>
    <w:tmpl w:val="60B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CB1"/>
    <w:rsid w:val="0013590D"/>
    <w:rsid w:val="005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D"/>
  </w:style>
  <w:style w:type="paragraph" w:styleId="2">
    <w:name w:val="heading 2"/>
    <w:basedOn w:val="a"/>
    <w:link w:val="20"/>
    <w:uiPriority w:val="9"/>
    <w:qFormat/>
    <w:rsid w:val="005F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6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6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C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C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CB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F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C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6C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C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6CB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lename">
    <w:name w:val="filename"/>
    <w:basedOn w:val="a0"/>
    <w:rsid w:val="005F6CB1"/>
  </w:style>
  <w:style w:type="character" w:customStyle="1" w:styleId="filedesc">
    <w:name w:val="filedesc"/>
    <w:basedOn w:val="a0"/>
    <w:rsid w:val="005F6CB1"/>
  </w:style>
  <w:style w:type="character" w:customStyle="1" w:styleId="filesize">
    <w:name w:val="filesize"/>
    <w:basedOn w:val="a0"/>
    <w:rsid w:val="005F6CB1"/>
  </w:style>
  <w:style w:type="character" w:styleId="a6">
    <w:name w:val="Strong"/>
    <w:basedOn w:val="a0"/>
    <w:uiPriority w:val="22"/>
    <w:qFormat/>
    <w:rsid w:val="005F6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160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6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0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msk.ru/c/document_library/get_file?p_l_id=458510&amp;folderId=501107&amp;name=DLFE-3897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%3A%2F%2Fadmomsk.ru%2Fc%2Fdocument_library%2Fget_file%3Fp_l_id%3D458510%26folderId%3D501107%26name%3DDLFE-38970.doc" TargetMode="External"/><Relationship Id="rId5" Type="http://schemas.openxmlformats.org/officeDocument/2006/relationships/hyperlink" Target="http://www.admomsk.ru/web/guest/progress/rates/invest-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2715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2015-04-08T10:39:00Z</dcterms:created>
  <dcterms:modified xsi:type="dcterms:W3CDTF">2015-04-08T10:39:00Z</dcterms:modified>
</cp:coreProperties>
</file>