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387" w:rsidRPr="00CC7387" w:rsidRDefault="00CC7387" w:rsidP="00CC7387">
      <w:pPr>
        <w:shd w:val="clear" w:color="auto" w:fill="FFFFFF"/>
        <w:spacing w:after="0" w:line="451" w:lineRule="atLeast"/>
        <w:textAlignment w:val="baseline"/>
        <w:outlineLvl w:val="1"/>
        <w:rPr>
          <w:rFonts w:ascii="Georgia" w:eastAsia="Times New Roman" w:hAnsi="Georgia" w:cs="Arial"/>
          <w:color w:val="333333"/>
          <w:sz w:val="38"/>
          <w:szCs w:val="38"/>
          <w:lang w:eastAsia="ru-RU"/>
        </w:rPr>
      </w:pPr>
      <w:r w:rsidRPr="00CC7387">
        <w:rPr>
          <w:rFonts w:ascii="inherit" w:eastAsia="Times New Roman" w:hAnsi="inherit" w:cs="Arial"/>
          <w:color w:val="333333"/>
          <w:sz w:val="38"/>
          <w:szCs w:val="38"/>
          <w:bdr w:val="none" w:sz="0" w:space="0" w:color="auto" w:frame="1"/>
          <w:lang w:eastAsia="ru-RU"/>
        </w:rPr>
        <w:t>О тарифах на коммунальные услуги и размере платы за коммунальные услуги на 2010 год по городу Омску</w:t>
      </w:r>
    </w:p>
    <w:p w:rsidR="00CC7387" w:rsidRPr="00CC7387" w:rsidRDefault="00CC7387" w:rsidP="00CC7387">
      <w:pPr>
        <w:shd w:val="clear" w:color="auto" w:fill="FFFFFF"/>
        <w:spacing w:after="0" w:line="250" w:lineRule="atLeast"/>
        <w:textAlignment w:val="baseline"/>
        <w:rPr>
          <w:rFonts w:ascii="Arial" w:eastAsia="Times New Roman" w:hAnsi="Arial" w:cs="Arial"/>
          <w:color w:val="333333"/>
          <w:sz w:val="18"/>
          <w:szCs w:val="18"/>
          <w:lang w:eastAsia="ru-RU"/>
        </w:rPr>
      </w:pPr>
      <w:r w:rsidRPr="00CC7387">
        <w:rPr>
          <w:rFonts w:ascii="Arial" w:eastAsia="Times New Roman" w:hAnsi="Arial" w:cs="Arial"/>
          <w:color w:val="333333"/>
          <w:sz w:val="18"/>
          <w:szCs w:val="18"/>
          <w:lang w:eastAsia="ru-RU"/>
        </w:rPr>
        <w:t>В соответствии со статьей 157 Жилищного кодекса РФ размер платы за коммунальные услуги определяется исходя из показаний приборов учета, а при их отсутствии — исходя из нормативов потребления коммунальных услуг, утвержденных в порядке, установленном Правительством РФ, и по тарифам, установленным субъектом РФ и органом местного самоуправления.</w:t>
      </w:r>
    </w:p>
    <w:p w:rsidR="00CC7387" w:rsidRPr="00CC7387" w:rsidRDefault="00CC7387" w:rsidP="00CC7387">
      <w:pPr>
        <w:shd w:val="clear" w:color="auto" w:fill="FFFFFF"/>
        <w:spacing w:after="0" w:line="250" w:lineRule="atLeast"/>
        <w:textAlignment w:val="baseline"/>
        <w:rPr>
          <w:rFonts w:ascii="Arial" w:eastAsia="Times New Roman" w:hAnsi="Arial" w:cs="Arial"/>
          <w:color w:val="333333"/>
          <w:sz w:val="18"/>
          <w:szCs w:val="18"/>
          <w:lang w:eastAsia="ru-RU"/>
        </w:rPr>
      </w:pPr>
      <w:r w:rsidRPr="00CC7387">
        <w:rPr>
          <w:rFonts w:ascii="Arial" w:eastAsia="Times New Roman" w:hAnsi="Arial" w:cs="Arial"/>
          <w:color w:val="333333"/>
          <w:sz w:val="18"/>
          <w:szCs w:val="18"/>
          <w:lang w:eastAsia="ru-RU"/>
        </w:rPr>
        <w:t>Изменение размера платы за коммунальные услуги в 2010 году связано с изменением тарифов на коммунальные услуги.</w:t>
      </w:r>
    </w:p>
    <w:p w:rsidR="00CC7387" w:rsidRPr="00CC7387" w:rsidRDefault="00CC7387" w:rsidP="00CC7387">
      <w:pPr>
        <w:shd w:val="clear" w:color="auto" w:fill="FFFFFF"/>
        <w:spacing w:after="0" w:line="376" w:lineRule="atLeast"/>
        <w:textAlignment w:val="baseline"/>
        <w:outlineLvl w:val="2"/>
        <w:rPr>
          <w:rFonts w:ascii="Georgia" w:eastAsia="Times New Roman" w:hAnsi="Georgia" w:cs="Arial"/>
          <w:color w:val="333333"/>
          <w:sz w:val="30"/>
          <w:szCs w:val="30"/>
          <w:lang w:eastAsia="ru-RU"/>
        </w:rPr>
      </w:pPr>
      <w:r w:rsidRPr="00CC7387">
        <w:rPr>
          <w:rFonts w:ascii="inherit" w:eastAsia="Times New Roman" w:hAnsi="inherit" w:cs="Arial"/>
          <w:color w:val="333333"/>
          <w:sz w:val="30"/>
          <w:szCs w:val="30"/>
          <w:bdr w:val="none" w:sz="0" w:space="0" w:color="auto" w:frame="1"/>
          <w:lang w:eastAsia="ru-RU"/>
        </w:rPr>
        <w:t>Электрическая энергия</w:t>
      </w:r>
    </w:p>
    <w:p w:rsidR="00CC7387" w:rsidRPr="00CC7387" w:rsidRDefault="00CC7387" w:rsidP="00CC7387">
      <w:pPr>
        <w:shd w:val="clear" w:color="auto" w:fill="FFFFFF"/>
        <w:spacing w:after="0" w:line="250" w:lineRule="atLeast"/>
        <w:textAlignment w:val="baseline"/>
        <w:rPr>
          <w:rFonts w:ascii="Arial" w:eastAsia="Times New Roman" w:hAnsi="Arial" w:cs="Arial"/>
          <w:color w:val="333333"/>
          <w:sz w:val="18"/>
          <w:szCs w:val="18"/>
          <w:lang w:eastAsia="ru-RU"/>
        </w:rPr>
      </w:pPr>
      <w:r w:rsidRPr="00CC7387">
        <w:rPr>
          <w:rFonts w:ascii="Arial" w:eastAsia="Times New Roman" w:hAnsi="Arial" w:cs="Arial"/>
          <w:color w:val="333333"/>
          <w:sz w:val="18"/>
          <w:szCs w:val="18"/>
          <w:lang w:eastAsia="ru-RU"/>
        </w:rPr>
        <w:t>Тарифы на электрическую энергию, поставляемую населению ОАО «Омская энергосбытовая компания», установлены приказом Региональной энергетической комиссии Омской области от 10 ноября 2009 года № 254/66 (с учетом НДС):</w:t>
      </w:r>
    </w:p>
    <w:tbl>
      <w:tblPr>
        <w:tblW w:w="0" w:type="auto"/>
        <w:tblCellMar>
          <w:left w:w="0" w:type="dxa"/>
          <w:right w:w="0" w:type="dxa"/>
        </w:tblCellMar>
        <w:tblLook w:val="04A0"/>
      </w:tblPr>
      <w:tblGrid>
        <w:gridCol w:w="6821"/>
        <w:gridCol w:w="1401"/>
        <w:gridCol w:w="1333"/>
      </w:tblGrid>
      <w:tr w:rsidR="00CC7387" w:rsidRPr="00CC7387" w:rsidTr="00CC7387">
        <w:tc>
          <w:tcPr>
            <w:tcW w:w="0" w:type="auto"/>
            <w:gridSpan w:val="3"/>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В домах, оборудованных в установленном порядке стационарными газовыми плитами</w:t>
            </w:r>
          </w:p>
        </w:tc>
      </w:tr>
      <w:tr w:rsidR="00CC7387" w:rsidRPr="00CC7387" w:rsidTr="00CC7387">
        <w:tc>
          <w:tcPr>
            <w:tcW w:w="7676"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Одноставочный тариф</w:t>
            </w:r>
          </w:p>
        </w:tc>
        <w:tc>
          <w:tcPr>
            <w:tcW w:w="1478"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руб./кВт.ч</w:t>
            </w:r>
          </w:p>
        </w:tc>
        <w:tc>
          <w:tcPr>
            <w:tcW w:w="1465"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2,28</w:t>
            </w:r>
          </w:p>
        </w:tc>
      </w:tr>
      <w:tr w:rsidR="00CC7387" w:rsidRPr="00CC7387" w:rsidTr="00CC7387">
        <w:tc>
          <w:tcPr>
            <w:tcW w:w="0" w:type="auto"/>
            <w:gridSpan w:val="3"/>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Тариф, дифференцированный по зонам суток:</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 дневная зона</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руб./кВт.ч</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2,40</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 ночная зона</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руб./кВт.ч</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1,30</w:t>
            </w:r>
          </w:p>
        </w:tc>
      </w:tr>
      <w:tr w:rsidR="00CC7387" w:rsidRPr="00CC7387" w:rsidTr="00CC7387">
        <w:tc>
          <w:tcPr>
            <w:tcW w:w="0" w:type="auto"/>
            <w:gridSpan w:val="3"/>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В домах, оборудованных в установленном порядке стационарными электроплитами и (или) электроотопительными установками</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Одноставочный тариф</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руб./кВт.ч</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1,60</w:t>
            </w:r>
          </w:p>
        </w:tc>
      </w:tr>
      <w:tr w:rsidR="00CC7387" w:rsidRPr="00CC7387" w:rsidTr="00CC7387">
        <w:tc>
          <w:tcPr>
            <w:tcW w:w="0" w:type="auto"/>
            <w:gridSpan w:val="3"/>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Тариф, дифференцированный по зонам суток:</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 дневная зона</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руб./кВт.ч</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1,68</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 ночная зона</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руб./кВт.ч</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0,90</w:t>
            </w:r>
          </w:p>
        </w:tc>
      </w:tr>
    </w:tbl>
    <w:p w:rsidR="00CC7387" w:rsidRPr="00CC7387" w:rsidRDefault="00CC7387" w:rsidP="00CC7387">
      <w:pPr>
        <w:shd w:val="clear" w:color="auto" w:fill="FFFFFF"/>
        <w:spacing w:after="0" w:line="250" w:lineRule="atLeast"/>
        <w:textAlignment w:val="baseline"/>
        <w:rPr>
          <w:rFonts w:ascii="Arial" w:eastAsia="Times New Roman" w:hAnsi="Arial" w:cs="Arial"/>
          <w:color w:val="333333"/>
          <w:sz w:val="18"/>
          <w:szCs w:val="18"/>
          <w:lang w:eastAsia="ru-RU"/>
        </w:rPr>
      </w:pPr>
      <w:r w:rsidRPr="00CC7387">
        <w:rPr>
          <w:rFonts w:ascii="Arial" w:eastAsia="Times New Roman" w:hAnsi="Arial" w:cs="Arial"/>
          <w:color w:val="333333"/>
          <w:sz w:val="18"/>
          <w:szCs w:val="18"/>
          <w:lang w:eastAsia="ru-RU"/>
        </w:rPr>
        <w:t>Согласно решению Омского городского Совета от 26 ноября 2008 года № 196 с 1 января 2009 года установлена надбавка к тарифам на электрическую энергию для потребителей в размере 0,006 руб. за 1 киловатт-час электрической энергии без учета НДС (с учетом НДС — 0,007 руб. за 1 киловатт-час).</w:t>
      </w:r>
    </w:p>
    <w:p w:rsidR="00CC7387" w:rsidRPr="00CC7387" w:rsidRDefault="00CC7387" w:rsidP="00CC7387">
      <w:pPr>
        <w:shd w:val="clear" w:color="auto" w:fill="FFFFFF"/>
        <w:spacing w:after="0" w:line="376" w:lineRule="atLeast"/>
        <w:textAlignment w:val="baseline"/>
        <w:outlineLvl w:val="2"/>
        <w:rPr>
          <w:rFonts w:ascii="Georgia" w:eastAsia="Times New Roman" w:hAnsi="Georgia" w:cs="Arial"/>
          <w:color w:val="333333"/>
          <w:sz w:val="30"/>
          <w:szCs w:val="30"/>
          <w:lang w:eastAsia="ru-RU"/>
        </w:rPr>
      </w:pPr>
      <w:r w:rsidRPr="00CC7387">
        <w:rPr>
          <w:rFonts w:ascii="inherit" w:eastAsia="Times New Roman" w:hAnsi="inherit" w:cs="Arial"/>
          <w:color w:val="333333"/>
          <w:sz w:val="30"/>
          <w:szCs w:val="30"/>
          <w:bdr w:val="none" w:sz="0" w:space="0" w:color="auto" w:frame="1"/>
          <w:lang w:eastAsia="ru-RU"/>
        </w:rPr>
        <w:t>Тепловая энергия</w:t>
      </w:r>
    </w:p>
    <w:p w:rsidR="00CC7387" w:rsidRPr="00CC7387" w:rsidRDefault="00CC7387" w:rsidP="00CC7387">
      <w:pPr>
        <w:shd w:val="clear" w:color="auto" w:fill="FFFFFF"/>
        <w:spacing w:after="0" w:line="250" w:lineRule="atLeast"/>
        <w:textAlignment w:val="baseline"/>
        <w:rPr>
          <w:rFonts w:ascii="Arial" w:eastAsia="Times New Roman" w:hAnsi="Arial" w:cs="Arial"/>
          <w:color w:val="333333"/>
          <w:sz w:val="18"/>
          <w:szCs w:val="18"/>
          <w:lang w:eastAsia="ru-RU"/>
        </w:rPr>
      </w:pPr>
      <w:r w:rsidRPr="00CC7387">
        <w:rPr>
          <w:rFonts w:ascii="Arial" w:eastAsia="Times New Roman" w:hAnsi="Arial" w:cs="Arial"/>
          <w:color w:val="333333"/>
          <w:sz w:val="18"/>
          <w:szCs w:val="18"/>
          <w:lang w:eastAsia="ru-RU"/>
        </w:rPr>
        <w:t>Тарифы на тепловую энергию по Омску установлены приказами Региональной энергетической комиссии Омской области на 2010 год в следующих размерах:</w:t>
      </w:r>
    </w:p>
    <w:tbl>
      <w:tblPr>
        <w:tblW w:w="0" w:type="auto"/>
        <w:tblCellMar>
          <w:left w:w="0" w:type="dxa"/>
          <w:right w:w="0" w:type="dxa"/>
        </w:tblCellMar>
        <w:tblLook w:val="04A0"/>
      </w:tblPr>
      <w:tblGrid>
        <w:gridCol w:w="7567"/>
        <w:gridCol w:w="1988"/>
      </w:tblGrid>
      <w:tr w:rsidR="00CC7387" w:rsidRPr="00CC7387" w:rsidTr="00CC7387">
        <w:trPr>
          <w:tblHeader/>
        </w:trPr>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CC7387" w:rsidRPr="00CC7387" w:rsidRDefault="00CC7387" w:rsidP="00CC7387">
            <w:pPr>
              <w:spacing w:after="0" w:line="225" w:lineRule="atLeast"/>
              <w:jc w:val="center"/>
              <w:rPr>
                <w:rFonts w:ascii="inherit" w:eastAsia="Times New Roman" w:hAnsi="inherit" w:cs="Arial"/>
                <w:b/>
                <w:bCs/>
                <w:color w:val="79948C"/>
                <w:sz w:val="16"/>
                <w:szCs w:val="16"/>
                <w:lang w:eastAsia="ru-RU"/>
              </w:rPr>
            </w:pPr>
            <w:r w:rsidRPr="00CC7387">
              <w:rPr>
                <w:rFonts w:ascii="inherit" w:eastAsia="Times New Roman" w:hAnsi="inherit" w:cs="Arial"/>
                <w:b/>
                <w:bCs/>
                <w:color w:val="79948C"/>
                <w:sz w:val="16"/>
                <w:szCs w:val="16"/>
                <w:lang w:eastAsia="ru-RU"/>
              </w:rPr>
              <w:t>Наименование предприятия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CC7387" w:rsidRPr="00CC7387" w:rsidRDefault="00CC7387" w:rsidP="00CC7387">
            <w:pPr>
              <w:spacing w:after="0" w:line="225" w:lineRule="atLeast"/>
              <w:jc w:val="center"/>
              <w:rPr>
                <w:rFonts w:ascii="inherit" w:eastAsia="Times New Roman" w:hAnsi="inherit" w:cs="Arial"/>
                <w:b/>
                <w:bCs/>
                <w:color w:val="79948C"/>
                <w:sz w:val="16"/>
                <w:szCs w:val="16"/>
                <w:lang w:eastAsia="ru-RU"/>
              </w:rPr>
            </w:pPr>
            <w:r w:rsidRPr="00CC7387">
              <w:rPr>
                <w:rFonts w:ascii="inherit" w:eastAsia="Times New Roman" w:hAnsi="inherit" w:cs="Arial"/>
                <w:b/>
                <w:bCs/>
                <w:color w:val="79948C"/>
                <w:sz w:val="16"/>
                <w:szCs w:val="16"/>
                <w:lang w:eastAsia="ru-RU"/>
              </w:rPr>
              <w:t>Тарифы с учетом НДС (руб. за 1 Гкал)</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ООО «Омскстройматериалы-2» при передаче тепловой энергии по собственным сетям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1041,08</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ООО «Омскстройматериалы-2» при передаче тепловой энергии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1051,85</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ООО «Тепловая компания» при передаче тепловой энергии по собственным сетям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819,03</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ООО «Тепловая компания» при передаче тепловой энергии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981,38</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ООО «Омсктехуглерод» при передаче тепловой энергии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993,42</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ФГУП «Омское ПО «Иртыш» при передаче тепловой энергии по собственным сетям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1196,53</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ФГУП «Омское ПО «Иртыш» при передаче тепловой энергии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1310,72</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ОАО «Омскшина» при передаче тепловой энергии по сетям МП города Омска «Тепловая компания» и сетям ООО «Транспортная компания АК-1253»</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939,19</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ОАО «Омскшина» при передаче тепловой энергии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913,51</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ОАО «Омский комбинат строительных конструкций» при передаче тепловой энергии по собственным сетям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968,13</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 xml:space="preserve">ФГУП «Государственный космический научно-производственный центр имени М.В. Хруничева – филиал </w:t>
            </w:r>
            <w:r w:rsidRPr="00CC7387">
              <w:rPr>
                <w:rFonts w:ascii="inherit" w:eastAsia="Times New Roman" w:hAnsi="inherit" w:cs="Arial"/>
                <w:sz w:val="16"/>
                <w:szCs w:val="16"/>
                <w:lang w:eastAsia="ru-RU"/>
              </w:rPr>
              <w:lastRenderedPageBreak/>
              <w:t>«Производственное объединение «Полет» при передаче тепловой энергии по сетям ООО «Тепло»</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lastRenderedPageBreak/>
              <w:t>968,97</w:t>
            </w:r>
            <w:r w:rsidRPr="00CC7387">
              <w:rPr>
                <w:rFonts w:ascii="inherit" w:eastAsia="Times New Roman" w:hAnsi="inherit" w:cs="Arial"/>
                <w:sz w:val="16"/>
                <w:szCs w:val="16"/>
                <w:lang w:eastAsia="ru-RU"/>
              </w:rPr>
              <w:br/>
            </w:r>
            <w:r w:rsidRPr="00CC7387">
              <w:rPr>
                <w:rFonts w:ascii="inherit" w:eastAsia="Times New Roman" w:hAnsi="inherit" w:cs="Arial"/>
                <w:sz w:val="16"/>
                <w:szCs w:val="16"/>
                <w:lang w:eastAsia="ru-RU"/>
              </w:rPr>
              <w:lastRenderedPageBreak/>
              <w:t>(НДС не предусмотрен)</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lastRenderedPageBreak/>
              <w:t>ОАО «Мясокомбинат «Омский» при передаче тепловой энергии по собственным сетям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602,78</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ФГУ «Обь-Иртышское государственное бассейновое управление водных путей и судоходства» при передаче тепловой энергии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1523,73</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Станция «Входная» (Локомотивное депо) — структурное подразделение Западно-Сибирской железной дороги-филиала открытого акционерного общества «Российские железные дороги»</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1426,04</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ООО «Теплогенерирующий комплекс» при передаче тепловой энергии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1072,95</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ОАО «Территориальная генерирующая компания № 11» при передаче тепловой энергии по собственным сетям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673,46</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ОАО «Территориальная генерирующая компания № 11» при передаче тепловой энергии по сетям ЗАО «АВА плюс два»</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907,03</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ОАО «Территориальная генерирующая компания № 11» при передаче тепловой энергии по сетям ОАО «Омскэлектромонтаж»</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777,17</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ОАО «Территориальная генерирующая компания № 11» при передаче тепловой энергии по сетям МП г. Омска «Тепловая компания» и по сетям ООО «Микрорайон»</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962,58</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ОАО «Территориальная генерирующая компания № 11» при передаче тепловой энергии по сетям ООО «Микрорайон»</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744,21</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ОАО «Территориальная генерирующая компания № 11» при передаче тепловой энергии по сетям ОАО «Газпромнефть-ОНПЗ»</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762,42</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ОАО «Территориальная генерирующая компания № 11» при передаче тепловой энергии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879,10</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МП города Омска «Тепловая компания» при передаче тепловой энергии по собственным сетям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1288,56</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ООО «Октан-Сервис» (микрорайон Прибрежный)</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761,19</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ООО «Октан-Сервис» (микрорайон Входной) при передаче тепловой энергии по сетям МП города Омска «Тепловая компания»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1032,31</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Бюджетное учреждение социального обслуживания Омской области «Омский психоневрологический интернат»</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1116,80</w:t>
            </w:r>
            <w:r w:rsidRPr="00CC7387">
              <w:rPr>
                <w:rFonts w:ascii="inherit" w:eastAsia="Times New Roman" w:hAnsi="inherit" w:cs="Arial"/>
                <w:sz w:val="16"/>
                <w:szCs w:val="16"/>
                <w:lang w:eastAsia="ru-RU"/>
              </w:rPr>
              <w:br/>
              <w:t>(НДС не предусмотрен)</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ПО «Полет» — филиал Федерального космического агентства ФГУП «Государственный космический научно-производственный центр имени М.В. Хруничева» при передаче тепловой энергии по сетям ООО «Тепло»</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979,65</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ПО «Полет» — филиал Федерального космического агентства ФГУП «Государственный космический научно-производственный центр имени М.В. Хруничева» при передаче тепловой энергии по собственным сетям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946,25</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ООО «Теплогенерирующий комплекс» при передаче тепловой энергии по собственным сетям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866,08</w:t>
            </w:r>
          </w:p>
        </w:tc>
      </w:tr>
    </w:tbl>
    <w:p w:rsidR="00CC7387" w:rsidRPr="00CC7387" w:rsidRDefault="00CC7387" w:rsidP="00CC7387">
      <w:pPr>
        <w:shd w:val="clear" w:color="auto" w:fill="FFFFFF"/>
        <w:spacing w:after="0" w:line="376" w:lineRule="atLeast"/>
        <w:textAlignment w:val="baseline"/>
        <w:outlineLvl w:val="2"/>
        <w:rPr>
          <w:rFonts w:ascii="Georgia" w:eastAsia="Times New Roman" w:hAnsi="Georgia" w:cs="Arial"/>
          <w:color w:val="333333"/>
          <w:sz w:val="30"/>
          <w:szCs w:val="30"/>
          <w:lang w:eastAsia="ru-RU"/>
        </w:rPr>
      </w:pPr>
      <w:r w:rsidRPr="00CC7387">
        <w:rPr>
          <w:rFonts w:ascii="inherit" w:eastAsia="Times New Roman" w:hAnsi="inherit" w:cs="Arial"/>
          <w:color w:val="333333"/>
          <w:sz w:val="30"/>
          <w:szCs w:val="30"/>
          <w:bdr w:val="none" w:sz="0" w:space="0" w:color="auto" w:frame="1"/>
          <w:lang w:eastAsia="ru-RU"/>
        </w:rPr>
        <w:t>Холодная вода и водоотведение</w:t>
      </w:r>
    </w:p>
    <w:p w:rsidR="00CC7387" w:rsidRPr="00CC7387" w:rsidRDefault="00CC7387" w:rsidP="00CC7387">
      <w:pPr>
        <w:shd w:val="clear" w:color="auto" w:fill="FFFFFF"/>
        <w:spacing w:after="0" w:line="250" w:lineRule="atLeast"/>
        <w:textAlignment w:val="baseline"/>
        <w:rPr>
          <w:rFonts w:ascii="Arial" w:eastAsia="Times New Roman" w:hAnsi="Arial" w:cs="Arial"/>
          <w:color w:val="333333"/>
          <w:sz w:val="18"/>
          <w:szCs w:val="18"/>
          <w:lang w:eastAsia="ru-RU"/>
        </w:rPr>
      </w:pPr>
      <w:r w:rsidRPr="00CC7387">
        <w:rPr>
          <w:rFonts w:ascii="Arial" w:eastAsia="Times New Roman" w:hAnsi="Arial" w:cs="Arial"/>
          <w:color w:val="333333"/>
          <w:sz w:val="18"/>
          <w:szCs w:val="18"/>
          <w:lang w:eastAsia="ru-RU"/>
        </w:rPr>
        <w:t>Тарифы на холодную воду и водоотведение ОАО «ОмскВодоканал» для населения установлены в следующих размерах:</w:t>
      </w:r>
    </w:p>
    <w:p w:rsidR="00CC7387" w:rsidRPr="00CC7387" w:rsidRDefault="00CC7387" w:rsidP="00CC7387">
      <w:pPr>
        <w:numPr>
          <w:ilvl w:val="0"/>
          <w:numId w:val="1"/>
        </w:numPr>
        <w:shd w:val="clear" w:color="auto" w:fill="FFFFFF"/>
        <w:spacing w:after="0" w:line="250" w:lineRule="atLeast"/>
        <w:ind w:left="313"/>
        <w:textAlignment w:val="baseline"/>
        <w:rPr>
          <w:rFonts w:ascii="Arial" w:eastAsia="Times New Roman" w:hAnsi="Arial" w:cs="Arial"/>
          <w:color w:val="333333"/>
          <w:sz w:val="18"/>
          <w:szCs w:val="18"/>
          <w:lang w:eastAsia="ru-RU"/>
        </w:rPr>
      </w:pPr>
      <w:r w:rsidRPr="00CC7387">
        <w:rPr>
          <w:rFonts w:ascii="Arial" w:eastAsia="Times New Roman" w:hAnsi="Arial" w:cs="Arial"/>
          <w:color w:val="333333"/>
          <w:sz w:val="18"/>
          <w:szCs w:val="18"/>
          <w:lang w:eastAsia="ru-RU"/>
        </w:rPr>
        <w:t>холодная вода — 10,80 руб./куб.м (с учетом НДС);</w:t>
      </w:r>
    </w:p>
    <w:p w:rsidR="00CC7387" w:rsidRPr="00CC7387" w:rsidRDefault="00CC7387" w:rsidP="00CC7387">
      <w:pPr>
        <w:numPr>
          <w:ilvl w:val="0"/>
          <w:numId w:val="1"/>
        </w:numPr>
        <w:shd w:val="clear" w:color="auto" w:fill="FFFFFF"/>
        <w:spacing w:after="0" w:line="250" w:lineRule="atLeast"/>
        <w:ind w:left="313"/>
        <w:textAlignment w:val="baseline"/>
        <w:rPr>
          <w:rFonts w:ascii="Arial" w:eastAsia="Times New Roman" w:hAnsi="Arial" w:cs="Arial"/>
          <w:color w:val="333333"/>
          <w:sz w:val="18"/>
          <w:szCs w:val="18"/>
          <w:lang w:eastAsia="ru-RU"/>
        </w:rPr>
      </w:pPr>
      <w:r w:rsidRPr="00CC7387">
        <w:rPr>
          <w:rFonts w:ascii="Arial" w:eastAsia="Times New Roman" w:hAnsi="Arial" w:cs="Arial"/>
          <w:color w:val="333333"/>
          <w:sz w:val="18"/>
          <w:szCs w:val="18"/>
          <w:lang w:eastAsia="ru-RU"/>
        </w:rPr>
        <w:t>водоотведение — 8,71 руб./куб.м (с учетом НДС).</w:t>
      </w:r>
    </w:p>
    <w:p w:rsidR="00CC7387" w:rsidRPr="00CC7387" w:rsidRDefault="00CC7387" w:rsidP="00CC7387">
      <w:pPr>
        <w:shd w:val="clear" w:color="auto" w:fill="FFFFFF"/>
        <w:spacing w:after="0" w:line="250" w:lineRule="atLeast"/>
        <w:textAlignment w:val="baseline"/>
        <w:rPr>
          <w:rFonts w:ascii="Arial" w:eastAsia="Times New Roman" w:hAnsi="Arial" w:cs="Arial"/>
          <w:color w:val="333333"/>
          <w:sz w:val="18"/>
          <w:szCs w:val="18"/>
          <w:lang w:eastAsia="ru-RU"/>
        </w:rPr>
      </w:pPr>
      <w:r w:rsidRPr="00CC7387">
        <w:rPr>
          <w:rFonts w:ascii="Arial" w:eastAsia="Times New Roman" w:hAnsi="Arial" w:cs="Arial"/>
          <w:color w:val="333333"/>
          <w:sz w:val="18"/>
          <w:szCs w:val="18"/>
          <w:lang w:eastAsia="ru-RU"/>
        </w:rPr>
        <w:t>Согласно решению Омского городского Совета от 13 февраля 2008 года № 102 с 1 января 2009 года установлены надбавки к тарифам на холодную воду и водоотведение Открытого акционерного общества «ОмскВодоканал» для потребителей:</w:t>
      </w:r>
    </w:p>
    <w:p w:rsidR="00CC7387" w:rsidRPr="00CC7387" w:rsidRDefault="00CC7387" w:rsidP="00CC7387">
      <w:pPr>
        <w:numPr>
          <w:ilvl w:val="0"/>
          <w:numId w:val="2"/>
        </w:numPr>
        <w:shd w:val="clear" w:color="auto" w:fill="FFFFFF"/>
        <w:spacing w:after="0" w:line="250" w:lineRule="atLeast"/>
        <w:ind w:left="313"/>
        <w:textAlignment w:val="baseline"/>
        <w:rPr>
          <w:rFonts w:ascii="Arial" w:eastAsia="Times New Roman" w:hAnsi="Arial" w:cs="Arial"/>
          <w:color w:val="333333"/>
          <w:sz w:val="18"/>
          <w:szCs w:val="18"/>
          <w:lang w:eastAsia="ru-RU"/>
        </w:rPr>
      </w:pPr>
      <w:r w:rsidRPr="00CC7387">
        <w:rPr>
          <w:rFonts w:ascii="Arial" w:eastAsia="Times New Roman" w:hAnsi="Arial" w:cs="Arial"/>
          <w:color w:val="333333"/>
          <w:sz w:val="18"/>
          <w:szCs w:val="18"/>
          <w:lang w:eastAsia="ru-RU"/>
        </w:rPr>
        <w:t>надбавка к тарифу на холодную воду для потребителей — 0,41 руб./куб.м без учета НДС (с учетом НДС — 0,48 руб./куб.м);</w:t>
      </w:r>
    </w:p>
    <w:p w:rsidR="00CC7387" w:rsidRPr="00CC7387" w:rsidRDefault="00CC7387" w:rsidP="00CC7387">
      <w:pPr>
        <w:numPr>
          <w:ilvl w:val="0"/>
          <w:numId w:val="2"/>
        </w:numPr>
        <w:shd w:val="clear" w:color="auto" w:fill="FFFFFF"/>
        <w:spacing w:after="0" w:line="250" w:lineRule="atLeast"/>
        <w:ind w:left="313"/>
        <w:textAlignment w:val="baseline"/>
        <w:rPr>
          <w:rFonts w:ascii="Arial" w:eastAsia="Times New Roman" w:hAnsi="Arial" w:cs="Arial"/>
          <w:color w:val="333333"/>
          <w:sz w:val="18"/>
          <w:szCs w:val="18"/>
          <w:lang w:eastAsia="ru-RU"/>
        </w:rPr>
      </w:pPr>
      <w:r w:rsidRPr="00CC7387">
        <w:rPr>
          <w:rFonts w:ascii="Arial" w:eastAsia="Times New Roman" w:hAnsi="Arial" w:cs="Arial"/>
          <w:color w:val="333333"/>
          <w:sz w:val="18"/>
          <w:szCs w:val="18"/>
          <w:lang w:eastAsia="ru-RU"/>
        </w:rPr>
        <w:t>надбавка к тарифу на водоотведение для потребителей — 1,03 руб./куб.м без учета НДС (с учетом НДС — 1,22 руб./куб.м).</w:t>
      </w:r>
    </w:p>
    <w:p w:rsidR="00CC7387" w:rsidRPr="00CC7387" w:rsidRDefault="00CC7387" w:rsidP="00CC7387">
      <w:pPr>
        <w:pBdr>
          <w:bottom w:val="single" w:sz="6" w:space="1" w:color="auto"/>
        </w:pBdr>
        <w:spacing w:after="0" w:line="240" w:lineRule="auto"/>
        <w:jc w:val="center"/>
        <w:rPr>
          <w:rFonts w:ascii="Arial" w:eastAsia="Times New Roman" w:hAnsi="Arial" w:cs="Arial"/>
          <w:vanish/>
          <w:sz w:val="16"/>
          <w:szCs w:val="16"/>
          <w:lang w:eastAsia="ru-RU"/>
        </w:rPr>
      </w:pPr>
      <w:bookmarkStart w:id="0" w:name="p_110_INSTANCE_gz9M"/>
      <w:bookmarkEnd w:id="0"/>
      <w:r w:rsidRPr="00CC7387">
        <w:rPr>
          <w:rFonts w:ascii="Arial" w:eastAsia="Times New Roman" w:hAnsi="Arial" w:cs="Arial"/>
          <w:vanish/>
          <w:sz w:val="16"/>
          <w:szCs w:val="16"/>
          <w:lang w:eastAsia="ru-RU"/>
        </w:rPr>
        <w:t>Начало формы</w:t>
      </w:r>
    </w:p>
    <w:p w:rsidR="00CC7387" w:rsidRPr="00CC7387" w:rsidRDefault="00CC7387" w:rsidP="00CC7387">
      <w:pPr>
        <w:pBdr>
          <w:top w:val="single" w:sz="6" w:space="1" w:color="auto"/>
        </w:pBdr>
        <w:spacing w:after="0" w:line="240" w:lineRule="auto"/>
        <w:jc w:val="center"/>
        <w:rPr>
          <w:rFonts w:ascii="Arial" w:eastAsia="Times New Roman" w:hAnsi="Arial" w:cs="Arial"/>
          <w:vanish/>
          <w:sz w:val="16"/>
          <w:szCs w:val="16"/>
          <w:lang w:eastAsia="ru-RU"/>
        </w:rPr>
      </w:pPr>
      <w:r w:rsidRPr="00CC7387">
        <w:rPr>
          <w:rFonts w:ascii="Arial" w:eastAsia="Times New Roman" w:hAnsi="Arial" w:cs="Arial"/>
          <w:vanish/>
          <w:sz w:val="16"/>
          <w:szCs w:val="16"/>
          <w:lang w:eastAsia="ru-RU"/>
        </w:rPr>
        <w:t>Конец формы</w:t>
      </w:r>
    </w:p>
    <w:p w:rsidR="00CC7387" w:rsidRPr="00CC7387" w:rsidRDefault="00CC7387" w:rsidP="00CC7387">
      <w:pPr>
        <w:pBdr>
          <w:bottom w:val="single" w:sz="6" w:space="1" w:color="auto"/>
        </w:pBdr>
        <w:spacing w:after="0" w:line="240" w:lineRule="auto"/>
        <w:jc w:val="center"/>
        <w:rPr>
          <w:rFonts w:ascii="Arial" w:eastAsia="Times New Roman" w:hAnsi="Arial" w:cs="Arial"/>
          <w:vanish/>
          <w:sz w:val="16"/>
          <w:szCs w:val="16"/>
          <w:lang w:eastAsia="ru-RU"/>
        </w:rPr>
      </w:pPr>
      <w:r w:rsidRPr="00CC7387">
        <w:rPr>
          <w:rFonts w:ascii="Arial" w:eastAsia="Times New Roman" w:hAnsi="Arial" w:cs="Arial"/>
          <w:vanish/>
          <w:sz w:val="16"/>
          <w:szCs w:val="16"/>
          <w:lang w:eastAsia="ru-RU"/>
        </w:rPr>
        <w:t>Начало формы</w:t>
      </w:r>
    </w:p>
    <w:tbl>
      <w:tblPr>
        <w:tblW w:w="11270" w:type="dxa"/>
        <w:tblCellMar>
          <w:left w:w="0" w:type="dxa"/>
          <w:right w:w="0" w:type="dxa"/>
        </w:tblCellMar>
        <w:tblLook w:val="04A0"/>
      </w:tblPr>
      <w:tblGrid>
        <w:gridCol w:w="2683"/>
        <w:gridCol w:w="7272"/>
        <w:gridCol w:w="1315"/>
      </w:tblGrid>
      <w:tr w:rsidR="00CC7387" w:rsidRPr="00CC7387" w:rsidTr="00CC7387">
        <w:tc>
          <w:tcPr>
            <w:tcW w:w="2504" w:type="dxa"/>
            <w:tcBorders>
              <w:top w:val="nil"/>
              <w:left w:val="nil"/>
              <w:bottom w:val="nil"/>
              <w:right w:val="nil"/>
            </w:tcBorders>
            <w:tcMar>
              <w:top w:w="100" w:type="dxa"/>
              <w:left w:w="63" w:type="dxa"/>
              <w:bottom w:w="100" w:type="dxa"/>
              <w:right w:w="250" w:type="dxa"/>
            </w:tcMar>
            <w:vAlign w:val="bottom"/>
            <w:hideMark/>
          </w:tcPr>
          <w:p w:rsidR="00CC7387" w:rsidRPr="00CC7387" w:rsidRDefault="00CC7387" w:rsidP="00CC7387">
            <w:pPr>
              <w:spacing w:after="0" w:line="225" w:lineRule="atLeast"/>
              <w:rPr>
                <w:rFonts w:ascii="Arial" w:eastAsia="Times New Roman" w:hAnsi="Arial" w:cs="Arial"/>
                <w:sz w:val="16"/>
                <w:szCs w:val="16"/>
                <w:lang w:eastAsia="ru-RU"/>
              </w:rPr>
            </w:pPr>
            <w:hyperlink r:id="rId5" w:history="1">
              <w:r>
                <w:rPr>
                  <w:rFonts w:ascii="Arial" w:eastAsia="Times New Roman" w:hAnsi="Arial" w:cs="Arial"/>
                  <w:noProof/>
                  <w:sz w:val="16"/>
                  <w:szCs w:val="16"/>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76225" cy="190500"/>
                    <wp:effectExtent l="19050" t="0" r="9525" b="0"/>
                    <wp:wrapSquare wrapText="bothSides"/>
                    <wp:docPr id="2" name="Рисунок 2" descr="http://www.admomsk.ru/without_header-theme/images/document_library/doc.pn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dmomsk.ru/without_header-theme/images/document_library/doc.png">
                              <a:hlinkClick r:id="rId5"/>
                            </pic:cNvPr>
                            <pic:cNvPicPr>
                              <a:picLocks noChangeAspect="1" noChangeArrowheads="1"/>
                            </pic:cNvPicPr>
                          </pic:nvPicPr>
                          <pic:blipFill>
                            <a:blip r:embed="rId6"/>
                            <a:srcRect/>
                            <a:stretch>
                              <a:fillRect/>
                            </a:stretch>
                          </pic:blipFill>
                          <pic:spPr bwMode="auto">
                            <a:xfrm>
                              <a:off x="0" y="0"/>
                              <a:ext cx="276225" cy="190500"/>
                            </a:xfrm>
                            <a:prstGeom prst="rect">
                              <a:avLst/>
                            </a:prstGeom>
                            <a:noFill/>
                            <a:ln w="9525">
                              <a:noFill/>
                              <a:miter lim="800000"/>
                              <a:headEnd/>
                              <a:tailEnd/>
                            </a:ln>
                          </pic:spPr>
                        </pic:pic>
                      </a:graphicData>
                    </a:graphic>
                  </wp:anchor>
                </w:drawing>
              </w:r>
              <w:r w:rsidRPr="00CC7387">
                <w:rPr>
                  <w:rFonts w:ascii="inherit" w:eastAsia="Times New Roman" w:hAnsi="inherit" w:cs="Arial"/>
                  <w:color w:val="004BA0"/>
                  <w:sz w:val="16"/>
                  <w:u w:val="single"/>
                  <w:lang w:eastAsia="ru-RU"/>
                </w:rPr>
                <w:t>Дополнение</w:t>
              </w:r>
            </w:hyperlink>
          </w:p>
        </w:tc>
        <w:tc>
          <w:tcPr>
            <w:tcW w:w="6787" w:type="dxa"/>
            <w:tcBorders>
              <w:top w:val="nil"/>
              <w:left w:val="nil"/>
              <w:bottom w:val="nil"/>
              <w:right w:val="nil"/>
            </w:tcBorders>
            <w:tcMar>
              <w:top w:w="100" w:type="dxa"/>
              <w:left w:w="63" w:type="dxa"/>
              <w:bottom w:w="100" w:type="dxa"/>
              <w:right w:w="250" w:type="dxa"/>
            </w:tcMar>
            <w:vAlign w:val="bottom"/>
            <w:hideMark/>
          </w:tcPr>
          <w:p w:rsidR="00CC7387" w:rsidRPr="00CC7387" w:rsidRDefault="00CC7387" w:rsidP="00CC7387">
            <w:pPr>
              <w:spacing w:after="0" w:line="225" w:lineRule="atLeast"/>
              <w:rPr>
                <w:rFonts w:ascii="Arial" w:eastAsia="Times New Roman" w:hAnsi="Arial" w:cs="Arial"/>
                <w:sz w:val="16"/>
                <w:szCs w:val="16"/>
                <w:lang w:eastAsia="ru-RU"/>
              </w:rPr>
            </w:pPr>
            <w:r w:rsidRPr="00CC7387">
              <w:rPr>
                <w:rFonts w:ascii="inherit" w:eastAsia="Times New Roman" w:hAnsi="inherit" w:cs="Arial"/>
                <w:sz w:val="16"/>
                <w:lang w:eastAsia="ru-RU"/>
              </w:rPr>
              <w:t>Плата за водоснабжение и водоотведение в декабре 2010 года в городе Омске</w:t>
            </w:r>
          </w:p>
        </w:tc>
        <w:tc>
          <w:tcPr>
            <w:tcW w:w="1227" w:type="dxa"/>
            <w:tcBorders>
              <w:top w:val="nil"/>
              <w:left w:val="nil"/>
              <w:bottom w:val="nil"/>
              <w:right w:val="nil"/>
            </w:tcBorders>
            <w:tcMar>
              <w:top w:w="100" w:type="dxa"/>
              <w:left w:w="63" w:type="dxa"/>
              <w:bottom w:w="100" w:type="dxa"/>
              <w:right w:w="63" w:type="dxa"/>
            </w:tcMar>
            <w:vAlign w:val="bottom"/>
            <w:hideMark/>
          </w:tcPr>
          <w:p w:rsidR="00CC7387" w:rsidRPr="00CC7387" w:rsidRDefault="00CC7387" w:rsidP="00CC7387">
            <w:pPr>
              <w:spacing w:after="0" w:line="225" w:lineRule="atLeast"/>
              <w:rPr>
                <w:rFonts w:ascii="Arial" w:eastAsia="Times New Roman" w:hAnsi="Arial" w:cs="Arial"/>
                <w:color w:val="79948C"/>
                <w:sz w:val="16"/>
                <w:szCs w:val="16"/>
                <w:lang w:eastAsia="ru-RU"/>
              </w:rPr>
            </w:pPr>
            <w:hyperlink r:id="rId7" w:history="1">
              <w:r w:rsidRPr="00CC7387">
                <w:rPr>
                  <w:rFonts w:ascii="Arial" w:eastAsia="Times New Roman" w:hAnsi="Arial" w:cs="Arial"/>
                  <w:color w:val="004BA0"/>
                  <w:sz w:val="14"/>
                  <w:u w:val="single"/>
                  <w:lang w:eastAsia="ru-RU"/>
                </w:rPr>
                <w:t>46,0 Кб</w:t>
              </w:r>
            </w:hyperlink>
          </w:p>
        </w:tc>
      </w:tr>
    </w:tbl>
    <w:p w:rsidR="00CC7387" w:rsidRPr="00CC7387" w:rsidRDefault="00CC7387" w:rsidP="00CC7387">
      <w:pPr>
        <w:pBdr>
          <w:top w:val="single" w:sz="6" w:space="1" w:color="auto"/>
        </w:pBdr>
        <w:spacing w:after="0" w:line="240" w:lineRule="auto"/>
        <w:jc w:val="center"/>
        <w:rPr>
          <w:rFonts w:ascii="Arial" w:eastAsia="Times New Roman" w:hAnsi="Arial" w:cs="Arial"/>
          <w:vanish/>
          <w:sz w:val="16"/>
          <w:szCs w:val="16"/>
          <w:lang w:eastAsia="ru-RU"/>
        </w:rPr>
      </w:pPr>
      <w:r w:rsidRPr="00CC7387">
        <w:rPr>
          <w:rFonts w:ascii="Arial" w:eastAsia="Times New Roman" w:hAnsi="Arial" w:cs="Arial"/>
          <w:vanish/>
          <w:sz w:val="16"/>
          <w:szCs w:val="16"/>
          <w:lang w:eastAsia="ru-RU"/>
        </w:rPr>
        <w:t>Конец формы</w:t>
      </w:r>
    </w:p>
    <w:p w:rsidR="00CC7387" w:rsidRPr="00CC7387" w:rsidRDefault="00CC7387" w:rsidP="00CC7387">
      <w:pPr>
        <w:shd w:val="clear" w:color="auto" w:fill="FFFFFF"/>
        <w:spacing w:after="0" w:line="376" w:lineRule="atLeast"/>
        <w:textAlignment w:val="baseline"/>
        <w:outlineLvl w:val="2"/>
        <w:rPr>
          <w:rFonts w:ascii="Georgia" w:eastAsia="Times New Roman" w:hAnsi="Georgia" w:cs="Arial"/>
          <w:color w:val="333333"/>
          <w:sz w:val="30"/>
          <w:szCs w:val="30"/>
          <w:lang w:eastAsia="ru-RU"/>
        </w:rPr>
      </w:pPr>
      <w:bookmarkStart w:id="1" w:name="p_56_INSTANCE_63tS"/>
      <w:bookmarkEnd w:id="1"/>
      <w:r w:rsidRPr="00CC7387">
        <w:rPr>
          <w:rFonts w:ascii="inherit" w:eastAsia="Times New Roman" w:hAnsi="inherit" w:cs="Arial"/>
          <w:color w:val="333333"/>
          <w:sz w:val="30"/>
          <w:szCs w:val="30"/>
          <w:bdr w:val="none" w:sz="0" w:space="0" w:color="auto" w:frame="1"/>
          <w:lang w:eastAsia="ru-RU"/>
        </w:rPr>
        <w:t>Газ</w:t>
      </w:r>
    </w:p>
    <w:p w:rsidR="00CC7387" w:rsidRPr="00CC7387" w:rsidRDefault="00CC7387" w:rsidP="00CC7387">
      <w:pPr>
        <w:shd w:val="clear" w:color="auto" w:fill="FFFFFF"/>
        <w:spacing w:after="0" w:line="250" w:lineRule="atLeast"/>
        <w:textAlignment w:val="baseline"/>
        <w:rPr>
          <w:rFonts w:ascii="Arial" w:eastAsia="Times New Roman" w:hAnsi="Arial" w:cs="Arial"/>
          <w:color w:val="333333"/>
          <w:sz w:val="18"/>
          <w:szCs w:val="18"/>
          <w:lang w:eastAsia="ru-RU"/>
        </w:rPr>
      </w:pPr>
      <w:r w:rsidRPr="00CC7387">
        <w:rPr>
          <w:rFonts w:ascii="Arial" w:eastAsia="Times New Roman" w:hAnsi="Arial" w:cs="Arial"/>
          <w:color w:val="333333"/>
          <w:sz w:val="18"/>
          <w:szCs w:val="18"/>
          <w:lang w:eastAsia="ru-RU"/>
        </w:rPr>
        <w:t>Предельные уровни розничных цен на сжиженный газ, реализуемый населению города Омска для бытовых нужд, установлены в соответствии с приказом Региональной энергетической комиссии Омской области от 5 ноября 2009 года № 222/63 (с учетом НДС)</w:t>
      </w:r>
      <w:r w:rsidRPr="00CC7387">
        <w:rPr>
          <w:rFonts w:ascii="inherit" w:eastAsia="Times New Roman" w:hAnsi="inherit" w:cs="Arial"/>
          <w:b/>
          <w:bCs/>
          <w:color w:val="333333"/>
          <w:sz w:val="18"/>
          <w:lang w:eastAsia="ru-RU"/>
        </w:rPr>
        <w:t>:</w:t>
      </w:r>
    </w:p>
    <w:tbl>
      <w:tblPr>
        <w:tblW w:w="0" w:type="auto"/>
        <w:tblCellMar>
          <w:left w:w="0" w:type="dxa"/>
          <w:right w:w="0" w:type="dxa"/>
        </w:tblCellMar>
        <w:tblLook w:val="04A0"/>
      </w:tblPr>
      <w:tblGrid>
        <w:gridCol w:w="6742"/>
        <w:gridCol w:w="1405"/>
        <w:gridCol w:w="1408"/>
      </w:tblGrid>
      <w:tr w:rsidR="00CC7387" w:rsidRPr="00CC7387" w:rsidTr="00CC7387">
        <w:trPr>
          <w:tblHeader/>
        </w:trPr>
        <w:tc>
          <w:tcPr>
            <w:tcW w:w="7676"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CC7387" w:rsidRPr="00CC7387" w:rsidRDefault="00CC7387" w:rsidP="00CC7387">
            <w:pPr>
              <w:spacing w:after="0" w:line="225" w:lineRule="atLeast"/>
              <w:jc w:val="center"/>
              <w:rPr>
                <w:rFonts w:ascii="inherit" w:eastAsia="Times New Roman" w:hAnsi="inherit" w:cs="Arial"/>
                <w:b/>
                <w:bCs/>
                <w:color w:val="79948C"/>
                <w:sz w:val="16"/>
                <w:szCs w:val="16"/>
                <w:lang w:eastAsia="ru-RU"/>
              </w:rPr>
            </w:pPr>
            <w:r w:rsidRPr="00CC7387">
              <w:rPr>
                <w:rFonts w:ascii="inherit" w:eastAsia="Times New Roman" w:hAnsi="inherit" w:cs="Arial"/>
                <w:b/>
                <w:bCs/>
                <w:color w:val="79948C"/>
                <w:sz w:val="16"/>
                <w:szCs w:val="16"/>
                <w:lang w:eastAsia="ru-RU"/>
              </w:rPr>
              <w:t>Категории</w:t>
            </w:r>
          </w:p>
        </w:tc>
        <w:tc>
          <w:tcPr>
            <w:tcW w:w="1478"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CC7387" w:rsidRPr="00CC7387" w:rsidRDefault="00CC7387" w:rsidP="00CC7387">
            <w:pPr>
              <w:spacing w:after="0" w:line="225" w:lineRule="atLeast"/>
              <w:jc w:val="center"/>
              <w:rPr>
                <w:rFonts w:ascii="inherit" w:eastAsia="Times New Roman" w:hAnsi="inherit" w:cs="Arial"/>
                <w:b/>
                <w:bCs/>
                <w:color w:val="79948C"/>
                <w:sz w:val="16"/>
                <w:szCs w:val="16"/>
                <w:lang w:eastAsia="ru-RU"/>
              </w:rPr>
            </w:pPr>
            <w:r w:rsidRPr="00CC7387">
              <w:rPr>
                <w:rFonts w:ascii="inherit" w:eastAsia="Times New Roman" w:hAnsi="inherit" w:cs="Arial"/>
                <w:b/>
                <w:bCs/>
                <w:color w:val="79948C"/>
                <w:sz w:val="16"/>
                <w:szCs w:val="16"/>
                <w:lang w:eastAsia="ru-RU"/>
              </w:rPr>
              <w:t>Единицы измерения</w:t>
            </w:r>
          </w:p>
        </w:tc>
        <w:tc>
          <w:tcPr>
            <w:tcW w:w="1465"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CC7387" w:rsidRPr="00CC7387" w:rsidRDefault="00CC7387" w:rsidP="00CC7387">
            <w:pPr>
              <w:spacing w:after="0" w:line="225" w:lineRule="atLeast"/>
              <w:jc w:val="center"/>
              <w:rPr>
                <w:rFonts w:ascii="inherit" w:eastAsia="Times New Roman" w:hAnsi="inherit" w:cs="Arial"/>
                <w:b/>
                <w:bCs/>
                <w:color w:val="79948C"/>
                <w:sz w:val="16"/>
                <w:szCs w:val="16"/>
                <w:lang w:eastAsia="ru-RU"/>
              </w:rPr>
            </w:pPr>
            <w:r w:rsidRPr="00CC7387">
              <w:rPr>
                <w:rFonts w:ascii="inherit" w:eastAsia="Times New Roman" w:hAnsi="inherit" w:cs="Arial"/>
                <w:b/>
                <w:bCs/>
                <w:color w:val="79948C"/>
                <w:sz w:val="16"/>
                <w:szCs w:val="16"/>
                <w:lang w:eastAsia="ru-RU"/>
              </w:rPr>
              <w:t>Розничные цены на сжиженный газ</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Из групповых газовых резервуарных установок</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руб./кг</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21,30</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Из групповых газовых резервуарных установок при наличии газового счетчика</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руб./куб.м</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48,35</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В баллонах без доставки до потребителя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руб./кг</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12,14</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В баллонах с доставкой до потребителя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руб./кг</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18,68</w:t>
            </w:r>
          </w:p>
        </w:tc>
      </w:tr>
    </w:tbl>
    <w:p w:rsidR="00CC7387" w:rsidRPr="00CC7387" w:rsidRDefault="00CC7387" w:rsidP="00CC7387">
      <w:pPr>
        <w:shd w:val="clear" w:color="auto" w:fill="FFFFFF"/>
        <w:spacing w:after="0" w:line="250" w:lineRule="atLeast"/>
        <w:textAlignment w:val="baseline"/>
        <w:rPr>
          <w:rFonts w:ascii="Arial" w:eastAsia="Times New Roman" w:hAnsi="Arial" w:cs="Arial"/>
          <w:color w:val="333333"/>
          <w:sz w:val="18"/>
          <w:szCs w:val="18"/>
          <w:lang w:eastAsia="ru-RU"/>
        </w:rPr>
      </w:pPr>
      <w:r w:rsidRPr="00CC7387">
        <w:rPr>
          <w:rFonts w:ascii="Arial" w:eastAsia="Times New Roman" w:hAnsi="Arial" w:cs="Arial"/>
          <w:color w:val="333333"/>
          <w:sz w:val="18"/>
          <w:szCs w:val="18"/>
          <w:lang w:eastAsia="ru-RU"/>
        </w:rPr>
        <w:t>Розничные цены на природный газ, реализуемый ЗАО «Омская региональная компания по реализации газа» населению города Омска, установлены в соответствии с приказом Региональной энергетической комиссии Омской области от 6 ноября 2009 года № 224/64 (с учетом НДС):</w:t>
      </w:r>
    </w:p>
    <w:tbl>
      <w:tblPr>
        <w:tblW w:w="0" w:type="auto"/>
        <w:tblCellMar>
          <w:left w:w="0" w:type="dxa"/>
          <w:right w:w="0" w:type="dxa"/>
        </w:tblCellMar>
        <w:tblLook w:val="04A0"/>
      </w:tblPr>
      <w:tblGrid>
        <w:gridCol w:w="7383"/>
        <w:gridCol w:w="1092"/>
        <w:gridCol w:w="1080"/>
      </w:tblGrid>
      <w:tr w:rsidR="00CC7387" w:rsidRPr="00CC7387" w:rsidTr="00CC7387">
        <w:trPr>
          <w:tblHeader/>
        </w:trPr>
        <w:tc>
          <w:tcPr>
            <w:tcW w:w="6549" w:type="dxa"/>
            <w:vMerge w:val="restart"/>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CC7387" w:rsidRPr="00CC7387" w:rsidRDefault="00CC7387" w:rsidP="00CC7387">
            <w:pPr>
              <w:spacing w:after="0" w:line="225" w:lineRule="atLeast"/>
              <w:jc w:val="center"/>
              <w:rPr>
                <w:rFonts w:ascii="inherit" w:eastAsia="Times New Roman" w:hAnsi="inherit" w:cs="Arial"/>
                <w:b/>
                <w:bCs/>
                <w:color w:val="79948C"/>
                <w:sz w:val="16"/>
                <w:szCs w:val="16"/>
                <w:lang w:eastAsia="ru-RU"/>
              </w:rPr>
            </w:pPr>
            <w:r w:rsidRPr="00CC7387">
              <w:rPr>
                <w:rFonts w:ascii="inherit" w:eastAsia="Times New Roman" w:hAnsi="inherit" w:cs="Arial"/>
                <w:b/>
                <w:bCs/>
                <w:color w:val="79948C"/>
                <w:sz w:val="16"/>
                <w:szCs w:val="16"/>
                <w:lang w:eastAsia="ru-RU"/>
              </w:rPr>
              <w:t>Направление использования газа</w:t>
            </w:r>
          </w:p>
        </w:tc>
        <w:tc>
          <w:tcPr>
            <w:tcW w:w="0" w:type="auto"/>
            <w:gridSpan w:val="2"/>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CC7387" w:rsidRPr="00CC7387" w:rsidRDefault="00CC7387" w:rsidP="00CC7387">
            <w:pPr>
              <w:spacing w:after="0" w:line="225" w:lineRule="atLeast"/>
              <w:jc w:val="center"/>
              <w:rPr>
                <w:rFonts w:ascii="inherit" w:eastAsia="Times New Roman" w:hAnsi="inherit" w:cs="Arial"/>
                <w:b/>
                <w:bCs/>
                <w:color w:val="79948C"/>
                <w:sz w:val="16"/>
                <w:szCs w:val="16"/>
                <w:lang w:eastAsia="ru-RU"/>
              </w:rPr>
            </w:pPr>
            <w:r w:rsidRPr="00CC7387">
              <w:rPr>
                <w:rFonts w:ascii="inherit" w:eastAsia="Times New Roman" w:hAnsi="inherit" w:cs="Arial"/>
                <w:b/>
                <w:bCs/>
                <w:color w:val="79948C"/>
                <w:sz w:val="16"/>
                <w:szCs w:val="16"/>
                <w:lang w:eastAsia="ru-RU"/>
              </w:rPr>
              <w:t>Розничные цены на природный газ, руб./куб.м</w:t>
            </w:r>
          </w:p>
        </w:tc>
      </w:tr>
      <w:tr w:rsidR="00CC7387" w:rsidRPr="00CC7387" w:rsidTr="00CC7387">
        <w:trPr>
          <w:tblHeader/>
        </w:trPr>
        <w:tc>
          <w:tcPr>
            <w:tcW w:w="0" w:type="auto"/>
            <w:vMerge/>
            <w:tcBorders>
              <w:top w:val="single" w:sz="4" w:space="0" w:color="C0C7C4"/>
              <w:left w:val="single" w:sz="4" w:space="0" w:color="C0C7C4"/>
              <w:bottom w:val="single" w:sz="4" w:space="0" w:color="C0C7C4"/>
              <w:right w:val="single" w:sz="4" w:space="0" w:color="C0C7C4"/>
            </w:tcBorders>
            <w:vAlign w:val="center"/>
            <w:hideMark/>
          </w:tcPr>
          <w:p w:rsidR="00CC7387" w:rsidRPr="00CC7387" w:rsidRDefault="00CC7387" w:rsidP="00CC7387">
            <w:pPr>
              <w:spacing w:after="0" w:line="240" w:lineRule="auto"/>
              <w:rPr>
                <w:rFonts w:ascii="inherit" w:eastAsia="Times New Roman" w:hAnsi="inherit" w:cs="Arial"/>
                <w:b/>
                <w:bCs/>
                <w:color w:val="79948C"/>
                <w:sz w:val="16"/>
                <w:szCs w:val="16"/>
                <w:lang w:eastAsia="ru-RU"/>
              </w:rPr>
            </w:pPr>
          </w:p>
        </w:tc>
        <w:tc>
          <w:tcPr>
            <w:tcW w:w="2041"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CC7387" w:rsidRPr="00CC7387" w:rsidRDefault="00CC7387" w:rsidP="00CC7387">
            <w:pPr>
              <w:spacing w:after="0" w:line="225" w:lineRule="atLeast"/>
              <w:jc w:val="center"/>
              <w:rPr>
                <w:rFonts w:ascii="inherit" w:eastAsia="Times New Roman" w:hAnsi="inherit" w:cs="Arial"/>
                <w:b/>
                <w:bCs/>
                <w:color w:val="79948C"/>
                <w:sz w:val="16"/>
                <w:szCs w:val="16"/>
                <w:lang w:eastAsia="ru-RU"/>
              </w:rPr>
            </w:pPr>
            <w:r w:rsidRPr="00CC7387">
              <w:rPr>
                <w:rFonts w:ascii="inherit" w:eastAsia="Times New Roman" w:hAnsi="inherit" w:cs="Arial"/>
                <w:b/>
                <w:bCs/>
                <w:color w:val="79948C"/>
                <w:sz w:val="16"/>
                <w:szCs w:val="16"/>
                <w:lang w:eastAsia="ru-RU"/>
              </w:rPr>
              <w:t>с 1 января 2010 года</w:t>
            </w:r>
          </w:p>
        </w:tc>
        <w:tc>
          <w:tcPr>
            <w:tcW w:w="2029" w:type="dxa"/>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center"/>
            <w:hideMark/>
          </w:tcPr>
          <w:p w:rsidR="00CC7387" w:rsidRPr="00CC7387" w:rsidRDefault="00CC7387" w:rsidP="00CC7387">
            <w:pPr>
              <w:spacing w:after="0" w:line="225" w:lineRule="atLeast"/>
              <w:jc w:val="center"/>
              <w:rPr>
                <w:rFonts w:ascii="inherit" w:eastAsia="Times New Roman" w:hAnsi="inherit" w:cs="Arial"/>
                <w:b/>
                <w:bCs/>
                <w:color w:val="79948C"/>
                <w:sz w:val="16"/>
                <w:szCs w:val="16"/>
                <w:lang w:eastAsia="ru-RU"/>
              </w:rPr>
            </w:pPr>
            <w:r w:rsidRPr="00CC7387">
              <w:rPr>
                <w:rFonts w:ascii="inherit" w:eastAsia="Times New Roman" w:hAnsi="inherit" w:cs="Arial"/>
                <w:b/>
                <w:bCs/>
                <w:color w:val="79948C"/>
                <w:sz w:val="16"/>
                <w:szCs w:val="16"/>
                <w:lang w:eastAsia="ru-RU"/>
              </w:rPr>
              <w:t>с 1 апреля 2010 года</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На отопление жилых помещений, потребление газа при наличии приборов учета расхода газа (в случае использования для учета объема потребления газа одного прибора учета при одновременном использовании газа по нескольким направлениям его потребления, для которых устанавливаются различные розничные цены)</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2,28</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2,62</w:t>
            </w:r>
          </w:p>
        </w:tc>
      </w:tr>
      <w:tr w:rsidR="00CC7387" w:rsidRPr="00CC7387" w:rsidTr="00CC7387">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rPr>
                <w:rFonts w:ascii="inherit" w:eastAsia="Times New Roman" w:hAnsi="inherit" w:cs="Arial"/>
                <w:sz w:val="16"/>
                <w:szCs w:val="16"/>
                <w:lang w:eastAsia="ru-RU"/>
              </w:rPr>
            </w:pPr>
            <w:r w:rsidRPr="00CC7387">
              <w:rPr>
                <w:rFonts w:ascii="inherit" w:eastAsia="Times New Roman" w:hAnsi="inherit" w:cs="Arial"/>
                <w:sz w:val="16"/>
                <w:szCs w:val="16"/>
                <w:lang w:eastAsia="ru-RU"/>
              </w:rPr>
              <w:t>На приготовление пищи и горячее водоснабжение (подогрев воды при отсутствии централизованного горячего водоснабжения)</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3,82</w:t>
            </w:r>
          </w:p>
        </w:tc>
        <w:tc>
          <w:tcPr>
            <w:tcW w:w="0" w:type="auto"/>
            <w:tcBorders>
              <w:top w:val="single" w:sz="4" w:space="0" w:color="C0C7C4"/>
              <w:left w:val="single" w:sz="4" w:space="0" w:color="C0C7C4"/>
              <w:bottom w:val="single" w:sz="4" w:space="0" w:color="C0C7C4"/>
              <w:right w:val="single" w:sz="4" w:space="0" w:color="C0C7C4"/>
            </w:tcBorders>
            <w:tcMar>
              <w:top w:w="63" w:type="dxa"/>
              <w:left w:w="100" w:type="dxa"/>
              <w:bottom w:w="63" w:type="dxa"/>
              <w:right w:w="100" w:type="dxa"/>
            </w:tcMar>
            <w:vAlign w:val="bottom"/>
            <w:hideMark/>
          </w:tcPr>
          <w:p w:rsidR="00CC7387" w:rsidRPr="00CC7387" w:rsidRDefault="00CC7387" w:rsidP="00CC7387">
            <w:pPr>
              <w:spacing w:after="0" w:line="225" w:lineRule="atLeast"/>
              <w:jc w:val="right"/>
              <w:rPr>
                <w:rFonts w:ascii="inherit" w:eastAsia="Times New Roman" w:hAnsi="inherit" w:cs="Arial"/>
                <w:sz w:val="16"/>
                <w:szCs w:val="16"/>
                <w:lang w:eastAsia="ru-RU"/>
              </w:rPr>
            </w:pPr>
            <w:r w:rsidRPr="00CC7387">
              <w:rPr>
                <w:rFonts w:ascii="inherit" w:eastAsia="Times New Roman" w:hAnsi="inherit" w:cs="Arial"/>
                <w:sz w:val="16"/>
                <w:szCs w:val="16"/>
                <w:lang w:eastAsia="ru-RU"/>
              </w:rPr>
              <w:t>4,38</w:t>
            </w:r>
          </w:p>
        </w:tc>
      </w:tr>
    </w:tbl>
    <w:p w:rsidR="0013590D" w:rsidRDefault="0013590D"/>
    <w:sectPr w:rsidR="0013590D" w:rsidSect="0013590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6E6288"/>
    <w:multiLevelType w:val="multilevel"/>
    <w:tmpl w:val="8D26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3917DDF"/>
    <w:multiLevelType w:val="multilevel"/>
    <w:tmpl w:val="71346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CC7387"/>
    <w:rsid w:val="0013590D"/>
    <w:rsid w:val="00CC73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90D"/>
  </w:style>
  <w:style w:type="paragraph" w:styleId="2">
    <w:name w:val="heading 2"/>
    <w:basedOn w:val="a"/>
    <w:link w:val="20"/>
    <w:uiPriority w:val="9"/>
    <w:qFormat/>
    <w:rsid w:val="00CC738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C738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C738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C738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CC73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CC738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C738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C738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C7387"/>
    <w:rPr>
      <w:rFonts w:ascii="Arial" w:eastAsia="Times New Roman" w:hAnsi="Arial" w:cs="Arial"/>
      <w:vanish/>
      <w:sz w:val="16"/>
      <w:szCs w:val="16"/>
      <w:lang w:eastAsia="ru-RU"/>
    </w:rPr>
  </w:style>
  <w:style w:type="character" w:customStyle="1" w:styleId="filename">
    <w:name w:val="filename"/>
    <w:basedOn w:val="a0"/>
    <w:rsid w:val="00CC7387"/>
  </w:style>
  <w:style w:type="character" w:customStyle="1" w:styleId="filedesc">
    <w:name w:val="filedesc"/>
    <w:basedOn w:val="a0"/>
    <w:rsid w:val="00CC7387"/>
  </w:style>
  <w:style w:type="character" w:customStyle="1" w:styleId="filesize">
    <w:name w:val="filesize"/>
    <w:basedOn w:val="a0"/>
    <w:rsid w:val="00CC7387"/>
  </w:style>
  <w:style w:type="character" w:styleId="a4">
    <w:name w:val="Strong"/>
    <w:basedOn w:val="a0"/>
    <w:uiPriority w:val="22"/>
    <w:qFormat/>
    <w:rsid w:val="00CC7387"/>
    <w:rPr>
      <w:b/>
      <w:bCs/>
    </w:rPr>
  </w:style>
</w:styles>
</file>

<file path=word/webSettings.xml><?xml version="1.0" encoding="utf-8"?>
<w:webSettings xmlns:r="http://schemas.openxmlformats.org/officeDocument/2006/relationships" xmlns:w="http://schemas.openxmlformats.org/wordprocessingml/2006/main">
  <w:divs>
    <w:div w:id="378628513">
      <w:bodyDiv w:val="1"/>
      <w:marLeft w:val="0"/>
      <w:marRight w:val="0"/>
      <w:marTop w:val="0"/>
      <w:marBottom w:val="0"/>
      <w:divBdr>
        <w:top w:val="none" w:sz="0" w:space="0" w:color="auto"/>
        <w:left w:val="none" w:sz="0" w:space="0" w:color="auto"/>
        <w:bottom w:val="none" w:sz="0" w:space="0" w:color="auto"/>
        <w:right w:val="none" w:sz="0" w:space="0" w:color="auto"/>
      </w:divBdr>
      <w:divsChild>
        <w:div w:id="161244981">
          <w:marLeft w:val="0"/>
          <w:marRight w:val="0"/>
          <w:marTop w:val="0"/>
          <w:marBottom w:val="0"/>
          <w:divBdr>
            <w:top w:val="none" w:sz="0" w:space="0" w:color="auto"/>
            <w:left w:val="none" w:sz="0" w:space="0" w:color="auto"/>
            <w:bottom w:val="none" w:sz="0" w:space="0" w:color="auto"/>
            <w:right w:val="none" w:sz="0" w:space="0" w:color="auto"/>
          </w:divBdr>
          <w:divsChild>
            <w:div w:id="2023891350">
              <w:marLeft w:val="0"/>
              <w:marRight w:val="0"/>
              <w:marTop w:val="0"/>
              <w:marBottom w:val="0"/>
              <w:divBdr>
                <w:top w:val="none" w:sz="0" w:space="0" w:color="auto"/>
                <w:left w:val="none" w:sz="0" w:space="0" w:color="auto"/>
                <w:bottom w:val="none" w:sz="0" w:space="0" w:color="auto"/>
                <w:right w:val="none" w:sz="0" w:space="0" w:color="auto"/>
              </w:divBdr>
              <w:divsChild>
                <w:div w:id="2023625055">
                  <w:marLeft w:val="0"/>
                  <w:marRight w:val="0"/>
                  <w:marTop w:val="0"/>
                  <w:marBottom w:val="0"/>
                  <w:divBdr>
                    <w:top w:val="none" w:sz="0" w:space="0" w:color="auto"/>
                    <w:left w:val="none" w:sz="0" w:space="0" w:color="auto"/>
                    <w:bottom w:val="none" w:sz="0" w:space="0" w:color="auto"/>
                    <w:right w:val="none" w:sz="0" w:space="0" w:color="auto"/>
                  </w:divBdr>
                  <w:divsChild>
                    <w:div w:id="1947695019">
                      <w:marLeft w:val="0"/>
                      <w:marRight w:val="0"/>
                      <w:marTop w:val="0"/>
                      <w:marBottom w:val="0"/>
                      <w:divBdr>
                        <w:top w:val="none" w:sz="0" w:space="0" w:color="auto"/>
                        <w:left w:val="none" w:sz="0" w:space="0" w:color="auto"/>
                        <w:bottom w:val="none" w:sz="0" w:space="0" w:color="auto"/>
                        <w:right w:val="none" w:sz="0" w:space="0" w:color="auto"/>
                      </w:divBdr>
                      <w:divsChild>
                        <w:div w:id="1799034663">
                          <w:marLeft w:val="0"/>
                          <w:marRight w:val="0"/>
                          <w:marTop w:val="0"/>
                          <w:marBottom w:val="0"/>
                          <w:divBdr>
                            <w:top w:val="none" w:sz="0" w:space="0" w:color="auto"/>
                            <w:left w:val="none" w:sz="0" w:space="0" w:color="auto"/>
                            <w:bottom w:val="none" w:sz="0" w:space="0" w:color="auto"/>
                            <w:right w:val="none" w:sz="0" w:space="0" w:color="auto"/>
                          </w:divBdr>
                        </w:div>
                        <w:div w:id="12269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38571">
          <w:marLeft w:val="0"/>
          <w:marRight w:val="0"/>
          <w:marTop w:val="0"/>
          <w:marBottom w:val="0"/>
          <w:divBdr>
            <w:top w:val="none" w:sz="0" w:space="0" w:color="auto"/>
            <w:left w:val="none" w:sz="0" w:space="0" w:color="auto"/>
            <w:bottom w:val="none" w:sz="0" w:space="0" w:color="auto"/>
            <w:right w:val="none" w:sz="0" w:space="0" w:color="auto"/>
          </w:divBdr>
          <w:divsChild>
            <w:div w:id="796918004">
              <w:marLeft w:val="0"/>
              <w:marRight w:val="0"/>
              <w:marTop w:val="0"/>
              <w:marBottom w:val="0"/>
              <w:divBdr>
                <w:top w:val="none" w:sz="0" w:space="0" w:color="auto"/>
                <w:left w:val="none" w:sz="0" w:space="0" w:color="auto"/>
                <w:bottom w:val="none" w:sz="0" w:space="0" w:color="auto"/>
                <w:right w:val="none" w:sz="0" w:space="0" w:color="auto"/>
              </w:divBdr>
              <w:divsChild>
                <w:div w:id="1610625415">
                  <w:marLeft w:val="0"/>
                  <w:marRight w:val="0"/>
                  <w:marTop w:val="0"/>
                  <w:marBottom w:val="0"/>
                  <w:divBdr>
                    <w:top w:val="none" w:sz="0" w:space="0" w:color="auto"/>
                    <w:left w:val="none" w:sz="0" w:space="0" w:color="auto"/>
                    <w:bottom w:val="none" w:sz="0" w:space="0" w:color="auto"/>
                    <w:right w:val="none" w:sz="0" w:space="0" w:color="auto"/>
                  </w:divBdr>
                  <w:divsChild>
                    <w:div w:id="32559845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79572958">
          <w:marLeft w:val="0"/>
          <w:marRight w:val="0"/>
          <w:marTop w:val="0"/>
          <w:marBottom w:val="0"/>
          <w:divBdr>
            <w:top w:val="none" w:sz="0" w:space="0" w:color="auto"/>
            <w:left w:val="none" w:sz="0" w:space="0" w:color="auto"/>
            <w:bottom w:val="none" w:sz="0" w:space="0" w:color="auto"/>
            <w:right w:val="none" w:sz="0" w:space="0" w:color="auto"/>
          </w:divBdr>
          <w:divsChild>
            <w:div w:id="1214656180">
              <w:marLeft w:val="0"/>
              <w:marRight w:val="0"/>
              <w:marTop w:val="0"/>
              <w:marBottom w:val="0"/>
              <w:divBdr>
                <w:top w:val="none" w:sz="0" w:space="0" w:color="auto"/>
                <w:left w:val="none" w:sz="0" w:space="0" w:color="auto"/>
                <w:bottom w:val="none" w:sz="0" w:space="0" w:color="auto"/>
                <w:right w:val="none" w:sz="0" w:space="0" w:color="auto"/>
              </w:divBdr>
              <w:divsChild>
                <w:div w:id="1773474005">
                  <w:marLeft w:val="0"/>
                  <w:marRight w:val="0"/>
                  <w:marTop w:val="0"/>
                  <w:marBottom w:val="0"/>
                  <w:divBdr>
                    <w:top w:val="none" w:sz="0" w:space="0" w:color="auto"/>
                    <w:left w:val="none" w:sz="0" w:space="0" w:color="auto"/>
                    <w:bottom w:val="none" w:sz="0" w:space="0" w:color="auto"/>
                    <w:right w:val="none" w:sz="0" w:space="0" w:color="auto"/>
                  </w:divBdr>
                  <w:divsChild>
                    <w:div w:id="1743983216">
                      <w:marLeft w:val="0"/>
                      <w:marRight w:val="0"/>
                      <w:marTop w:val="0"/>
                      <w:marBottom w:val="0"/>
                      <w:divBdr>
                        <w:top w:val="none" w:sz="0" w:space="0" w:color="auto"/>
                        <w:left w:val="none" w:sz="0" w:space="0" w:color="auto"/>
                        <w:bottom w:val="none" w:sz="0" w:space="0" w:color="auto"/>
                        <w:right w:val="none" w:sz="0" w:space="0" w:color="auto"/>
                      </w:divBdr>
                      <w:divsChild>
                        <w:div w:id="1243487743">
                          <w:marLeft w:val="0"/>
                          <w:marRight w:val="0"/>
                          <w:marTop w:val="0"/>
                          <w:marBottom w:val="0"/>
                          <w:divBdr>
                            <w:top w:val="none" w:sz="0" w:space="0" w:color="auto"/>
                            <w:left w:val="none" w:sz="0" w:space="0" w:color="auto"/>
                            <w:bottom w:val="none" w:sz="0" w:space="0" w:color="auto"/>
                            <w:right w:val="none" w:sz="0" w:space="0" w:color="auto"/>
                          </w:divBdr>
                        </w:div>
                        <w:div w:id="13434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dmomsk.ru/c/document_library/get_file?p_l_id=86639&amp;folderId=283699&amp;name=DLFE-10608.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ocs.google.com/viewer?url=http%3A%2F%2Fadmomsk.ru%2Fc%2Fdocument_library%2Fget_file%3Fp_l_id%3D86639%26folderId%3D283699%26name%3DDLFE-10608.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1171</Words>
  <Characters>6681</Characters>
  <Application>Microsoft Office Word</Application>
  <DocSecurity>0</DocSecurity>
  <Lines>55</Lines>
  <Paragraphs>15</Paragraphs>
  <ScaleCrop>false</ScaleCrop>
  <Company/>
  <LinksUpToDate>false</LinksUpToDate>
  <CharactersWithSpaces>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dc:creator>
  <cp:lastModifiedBy>Алексей</cp:lastModifiedBy>
  <cp:revision>1</cp:revision>
  <dcterms:created xsi:type="dcterms:W3CDTF">2015-04-08T10:16:00Z</dcterms:created>
  <dcterms:modified xsi:type="dcterms:W3CDTF">2015-04-08T10:17:00Z</dcterms:modified>
</cp:coreProperties>
</file>